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4ABC3C29" w:rsidR="003D6E6D" w:rsidRDefault="00415553">
      <w:pPr>
        <w:spacing w:before="120" w:after="120"/>
        <w:jc w:val="both"/>
        <w:rPr>
          <w:rFonts w:ascii="Times New Roman" w:eastAsia="Times New Roman" w:hAnsi="Times New Roman" w:cs="Times New Roman"/>
          <w:b/>
          <w:sz w:val="32"/>
          <w:szCs w:val="32"/>
        </w:rPr>
      </w:pPr>
      <w:r w:rsidRPr="00415553">
        <w:rPr>
          <w:rFonts w:ascii="Times New Roman" w:eastAsia="Times New Roman" w:hAnsi="Times New Roman" w:cs="Times New Roman"/>
          <w:b/>
          <w:sz w:val="32"/>
          <w:szCs w:val="32"/>
        </w:rPr>
        <w:t>From Karabakh to Yerevan: Post-Conflict Democratization in Armenia</w:t>
      </w:r>
    </w:p>
    <w:p w14:paraId="00000002" w14:textId="77777777" w:rsidR="003D6E6D" w:rsidRDefault="003D6E6D">
      <w:pPr>
        <w:spacing w:before="120" w:after="120"/>
        <w:jc w:val="both"/>
        <w:rPr>
          <w:rFonts w:ascii="Times New Roman" w:eastAsia="Times New Roman" w:hAnsi="Times New Roman" w:cs="Times New Roman"/>
          <w:sz w:val="32"/>
          <w:szCs w:val="32"/>
        </w:rPr>
      </w:pPr>
    </w:p>
    <w:p w14:paraId="00000003" w14:textId="77777777" w:rsidR="003D6E6D" w:rsidRDefault="00000000">
      <w:pPr>
        <w:spacing w:before="120" w:after="1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Abstract</w:t>
      </w:r>
    </w:p>
    <w:p w14:paraId="6FEC50D0" w14:textId="77777777" w:rsidR="00F611DB" w:rsidRDefault="001B3B91" w:rsidP="001B3B91">
      <w:pPr>
        <w:spacing w:before="120" w:after="120"/>
        <w:jc w:val="both"/>
        <w:rPr>
          <w:rFonts w:ascii="Times New Roman" w:hAnsi="Times New Roman" w:cs="Times New Roman"/>
          <w:sz w:val="24"/>
          <w:szCs w:val="24"/>
        </w:rPr>
      </w:pPr>
      <w:r w:rsidRPr="001B3B91">
        <w:rPr>
          <w:rFonts w:ascii="Times New Roman" w:hAnsi="Times New Roman" w:cs="Times New Roman"/>
          <w:sz w:val="24"/>
          <w:szCs w:val="24"/>
        </w:rPr>
        <w:t>The forced displacement of the Nagorno-Karabakh Armenian population in September 2023 and the subsequent dissolution of all state institutions implemented on the first of January 2024 decreed the end of what was the unrecognized state of Nagorno-Karabakh. 120,000 people (essentially the entire Armenian population) fled their land and went to Armenia as refugees.</w:t>
      </w:r>
    </w:p>
    <w:p w14:paraId="1016785E" w14:textId="57E53B64" w:rsidR="001B3B91" w:rsidRPr="001B3B91" w:rsidRDefault="001B3B91" w:rsidP="001B3B91">
      <w:pPr>
        <w:spacing w:before="120" w:after="120"/>
        <w:jc w:val="both"/>
        <w:rPr>
          <w:rFonts w:ascii="Times New Roman" w:hAnsi="Times New Roman" w:cs="Times New Roman"/>
          <w:sz w:val="24"/>
          <w:szCs w:val="24"/>
        </w:rPr>
      </w:pPr>
      <w:r w:rsidRPr="001B3B91">
        <w:rPr>
          <w:rFonts w:ascii="Times New Roman" w:hAnsi="Times New Roman" w:cs="Times New Roman"/>
          <w:sz w:val="24"/>
          <w:szCs w:val="24"/>
        </w:rPr>
        <w:t>However, despite the tragic nature of the event and the humanitarian crisis, which still needs to be dealt with, the South Caucasus republic may have ‘a chance’ to aim for a peaceful and prosperous administration within.</w:t>
      </w:r>
      <w:r>
        <w:rPr>
          <w:rFonts w:ascii="Times New Roman" w:hAnsi="Times New Roman" w:cs="Times New Roman"/>
          <w:sz w:val="24"/>
          <w:szCs w:val="24"/>
        </w:rPr>
        <w:t xml:space="preserve"> </w:t>
      </w:r>
      <w:r w:rsidRPr="001B3B91">
        <w:rPr>
          <w:rFonts w:ascii="Times New Roman" w:hAnsi="Times New Roman" w:cs="Times New Roman"/>
          <w:sz w:val="24"/>
          <w:szCs w:val="24"/>
        </w:rPr>
        <w:t>This article explores, above all, the hypothesis that the 2020 and 2023 defeats in the Nagorno-Karabakh conflict, culminating in the effective dismantling of the Republic of Artsakh, have paradoxically</w:t>
      </w:r>
      <w:r>
        <w:rPr>
          <w:rFonts w:ascii="Times New Roman" w:hAnsi="Times New Roman" w:cs="Times New Roman"/>
          <w:sz w:val="24"/>
          <w:szCs w:val="24"/>
        </w:rPr>
        <w:t xml:space="preserve"> </w:t>
      </w:r>
      <w:r w:rsidRPr="001B3B91">
        <w:rPr>
          <w:rFonts w:ascii="Times New Roman" w:hAnsi="Times New Roman" w:cs="Times New Roman"/>
          <w:sz w:val="24"/>
          <w:szCs w:val="24"/>
        </w:rPr>
        <w:t>created conditions for democratic consolidation in Armenia. Drawing on the Territorial Peace Theory, the article argues that the loss of contested territory may reduce external threats and nationalist pressure, thereby opening space for domestic reform and liberal governance.</w:t>
      </w:r>
    </w:p>
    <w:p w14:paraId="40078830" w14:textId="38CAA89E" w:rsidR="001B3B91" w:rsidRDefault="001B3B91" w:rsidP="001B3B91">
      <w:pPr>
        <w:spacing w:before="120" w:after="120"/>
        <w:jc w:val="both"/>
        <w:rPr>
          <w:rFonts w:ascii="Times New Roman" w:hAnsi="Times New Roman" w:cs="Times New Roman"/>
          <w:sz w:val="24"/>
          <w:szCs w:val="24"/>
        </w:rPr>
      </w:pPr>
      <w:r w:rsidRPr="001B3B91">
        <w:rPr>
          <w:rFonts w:ascii="Times New Roman" w:hAnsi="Times New Roman" w:cs="Times New Roman"/>
          <w:sz w:val="24"/>
          <w:szCs w:val="24"/>
        </w:rPr>
        <w:t>In this context, the abandonment of the so-called “Karabakhist” rhetoric and mode of making policy—as provocatively defined by Levon Ter-Petrossian during a campaign event in Sevan in 2008 and later echoed by Pashinyan—becomes both a symbolic and structural break with the past</w:t>
      </w:r>
      <w:r w:rsidR="00912990">
        <w:rPr>
          <w:rFonts w:ascii="Times New Roman" w:hAnsi="Times New Roman" w:cs="Times New Roman"/>
          <w:sz w:val="24"/>
          <w:szCs w:val="24"/>
        </w:rPr>
        <w:t xml:space="preserve"> </w:t>
      </w:r>
      <w:r w:rsidR="00912990" w:rsidRPr="00ED30A1">
        <w:rPr>
          <w:rFonts w:ascii="Times New Roman" w:eastAsia="Times New Roman" w:hAnsi="Times New Roman" w:cs="Times New Roman"/>
          <w:sz w:val="24"/>
          <w:szCs w:val="24"/>
        </w:rPr>
        <w:t>(Ter-Petrosyan 2008)</w:t>
      </w:r>
      <w:r w:rsidRPr="001B3B91">
        <w:rPr>
          <w:rFonts w:ascii="Times New Roman" w:hAnsi="Times New Roman" w:cs="Times New Roman"/>
          <w:sz w:val="24"/>
          <w:szCs w:val="24"/>
        </w:rPr>
        <w:t>.</w:t>
      </w:r>
      <w:r>
        <w:rPr>
          <w:rFonts w:ascii="Times New Roman" w:hAnsi="Times New Roman" w:cs="Times New Roman"/>
          <w:sz w:val="24"/>
          <w:szCs w:val="24"/>
        </w:rPr>
        <w:t xml:space="preserve"> </w:t>
      </w:r>
      <w:r w:rsidRPr="001B3B91">
        <w:rPr>
          <w:rFonts w:ascii="Times New Roman" w:hAnsi="Times New Roman" w:cs="Times New Roman"/>
          <w:sz w:val="24"/>
          <w:szCs w:val="24"/>
        </w:rPr>
        <w:t>Through a review of political developments in Armenia from 2018 to 2024, the paper assesses whether military defeat and the collapse of the Karabakh-centered political order have contributed to a redefinition of national identity, foreign policy orientation, and institutional resilience.</w:t>
      </w:r>
    </w:p>
    <w:p w14:paraId="00000008" w14:textId="0B0E560B" w:rsidR="003D6E6D" w:rsidRPr="001B3B91" w:rsidRDefault="001B3B91" w:rsidP="001B3B91">
      <w:pPr>
        <w:spacing w:before="120" w:after="120"/>
        <w:jc w:val="both"/>
        <w:rPr>
          <w:rFonts w:ascii="Times New Roman" w:hAnsi="Times New Roman" w:cs="Times New Roman"/>
          <w:sz w:val="24"/>
          <w:szCs w:val="24"/>
        </w:rPr>
      </w:pPr>
      <w:r w:rsidRPr="001B3B91">
        <w:rPr>
          <w:rFonts w:ascii="Times New Roman" w:hAnsi="Times New Roman" w:cs="Times New Roman"/>
          <w:sz w:val="24"/>
          <w:szCs w:val="24"/>
        </w:rPr>
        <w:t>The article also considers the emotional and political costs of this process and the tensions between democratization and national trauma. Finally, it examines whether and how the European Union's engagement aligns with this democratization trajectory and contributes to shaping Armenia’s post-conflict transition.</w:t>
      </w:r>
    </w:p>
    <w:p w14:paraId="00000009" w14:textId="77777777" w:rsidR="003D6E6D" w:rsidRDefault="003D6E6D">
      <w:pPr>
        <w:spacing w:before="120" w:after="120"/>
        <w:jc w:val="both"/>
        <w:rPr>
          <w:rFonts w:ascii="Times New Roman" w:eastAsia="Times New Roman" w:hAnsi="Times New Roman" w:cs="Times New Roman"/>
          <w:sz w:val="24"/>
          <w:szCs w:val="24"/>
        </w:rPr>
      </w:pPr>
    </w:p>
    <w:p w14:paraId="0000000A" w14:textId="77777777" w:rsidR="003D6E6D" w:rsidRDefault="00000000">
      <w:pPr>
        <w:spacing w:before="120" w:after="1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Keywords</w:t>
      </w:r>
    </w:p>
    <w:p w14:paraId="0000000B" w14:textId="77777777" w:rsidR="003D6E6D" w:rsidRDefault="00000000">
      <w:pPr>
        <w:spacing w:before="120" w:after="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Democratization; Postwar Democratization; Socio-Economic Recovery; Transitional Justice; Conflict; Peace; ENP; EU External Action</w:t>
      </w:r>
    </w:p>
    <w:p w14:paraId="4FD9F05F" w14:textId="77777777" w:rsidR="00B16E8E" w:rsidRDefault="00B16E8E">
      <w:pPr>
        <w:spacing w:before="120" w:after="120"/>
        <w:jc w:val="both"/>
        <w:rPr>
          <w:rFonts w:ascii="Times New Roman" w:eastAsia="Times New Roman" w:hAnsi="Times New Roman" w:cs="Times New Roman"/>
          <w:sz w:val="24"/>
          <w:szCs w:val="24"/>
        </w:rPr>
      </w:pPr>
    </w:p>
    <w:p w14:paraId="0000000C" w14:textId="77777777" w:rsidR="003D6E6D" w:rsidRDefault="003D6E6D">
      <w:pPr>
        <w:spacing w:before="120" w:after="120"/>
        <w:jc w:val="both"/>
        <w:rPr>
          <w:rFonts w:ascii="Times New Roman" w:eastAsia="Times New Roman" w:hAnsi="Times New Roman" w:cs="Times New Roman"/>
          <w:sz w:val="24"/>
          <w:szCs w:val="24"/>
        </w:rPr>
      </w:pPr>
    </w:p>
    <w:p w14:paraId="0000000D" w14:textId="77777777" w:rsidR="003D6E6D" w:rsidRDefault="003D6E6D">
      <w:pPr>
        <w:spacing w:before="120" w:after="120"/>
        <w:jc w:val="both"/>
        <w:rPr>
          <w:rFonts w:ascii="Times New Roman" w:eastAsia="Times New Roman" w:hAnsi="Times New Roman" w:cs="Times New Roman"/>
        </w:rPr>
      </w:pPr>
    </w:p>
    <w:p w14:paraId="0000000E" w14:textId="77777777" w:rsidR="003D6E6D" w:rsidRDefault="00000000">
      <w:pPr>
        <w:spacing w:before="120" w:after="1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Introduction</w:t>
      </w:r>
    </w:p>
    <w:p w14:paraId="78AAC20E" w14:textId="77777777" w:rsidR="00ED30A1" w:rsidRPr="00ED30A1" w:rsidRDefault="00ED30A1" w:rsidP="00ED30A1">
      <w:pPr>
        <w:spacing w:before="120" w:after="120"/>
        <w:jc w:val="both"/>
        <w:rPr>
          <w:rFonts w:ascii="Times New Roman" w:eastAsia="Times New Roman" w:hAnsi="Times New Roman" w:cs="Times New Roman"/>
          <w:sz w:val="24"/>
          <w:szCs w:val="24"/>
        </w:rPr>
      </w:pPr>
      <w:r w:rsidRPr="00ED30A1">
        <w:rPr>
          <w:rFonts w:ascii="Times New Roman" w:eastAsia="Times New Roman" w:hAnsi="Times New Roman" w:cs="Times New Roman"/>
          <w:sz w:val="24"/>
          <w:szCs w:val="24"/>
        </w:rPr>
        <w:t xml:space="preserve">The collapse of the Nagorno-Karabakh political and military order represents one of the most consequential geopolitical shifts in the South Caucasus since the end of the Soviet Union. Armenia’s military defeat in the Second Nagorno-Karabakh War (2020), followed by the fall of the self-proclaimed Republic of Artsakh in 2023, brought not only the end of a protracted territorial dispute but also a profound rupture in the Armenian state’s domestic and foreign policy orientations. Far from </w:t>
      </w:r>
      <w:r w:rsidRPr="00ED30A1">
        <w:rPr>
          <w:rFonts w:ascii="Times New Roman" w:eastAsia="Times New Roman" w:hAnsi="Times New Roman" w:cs="Times New Roman"/>
          <w:sz w:val="24"/>
          <w:szCs w:val="24"/>
        </w:rPr>
        <w:lastRenderedPageBreak/>
        <w:t>being merely a question of borders or strategy, the loss of Nagorno-Karabakh challenged deeply entrenched narratives of identity, security, and legitimacy in Armenian political life.</w:t>
      </w:r>
    </w:p>
    <w:p w14:paraId="097C1BE3" w14:textId="77777777" w:rsidR="00EB6C49" w:rsidRDefault="00ED30A1" w:rsidP="00ED30A1">
      <w:pPr>
        <w:spacing w:before="120" w:after="120"/>
        <w:jc w:val="both"/>
        <w:rPr>
          <w:rFonts w:ascii="Times New Roman" w:eastAsia="Times New Roman" w:hAnsi="Times New Roman" w:cs="Times New Roman"/>
          <w:sz w:val="24"/>
          <w:szCs w:val="24"/>
        </w:rPr>
      </w:pPr>
      <w:r w:rsidRPr="00ED30A1">
        <w:rPr>
          <w:rFonts w:ascii="Times New Roman" w:eastAsia="Times New Roman" w:hAnsi="Times New Roman" w:cs="Times New Roman"/>
          <w:sz w:val="24"/>
          <w:szCs w:val="24"/>
        </w:rPr>
        <w:t>This article investigates a paradox: Can military defeat and territorial loss foster democratization? While traditional realist theories would expect such an outcome to trigger political instability or authoritarian consolidation, Armenia has shown surprising democratic resilience in the aftermath of its defeats. Since the Velvet Revolution of 2018, and despite the enormous psychological and strategic</w:t>
      </w:r>
      <w:r>
        <w:rPr>
          <w:rFonts w:ascii="Times New Roman" w:eastAsia="Times New Roman" w:hAnsi="Times New Roman" w:cs="Times New Roman"/>
          <w:sz w:val="24"/>
          <w:szCs w:val="24"/>
        </w:rPr>
        <w:t xml:space="preserve"> </w:t>
      </w:r>
      <w:r w:rsidRPr="00ED30A1">
        <w:rPr>
          <w:rFonts w:ascii="Times New Roman" w:eastAsia="Times New Roman" w:hAnsi="Times New Roman" w:cs="Times New Roman"/>
          <w:sz w:val="24"/>
          <w:szCs w:val="24"/>
        </w:rPr>
        <w:t>shock of 2020–2023, Armenia has maintained competitive elections, strengthened institutional</w:t>
      </w:r>
      <w:r>
        <w:rPr>
          <w:rFonts w:ascii="Times New Roman" w:eastAsia="Times New Roman" w:hAnsi="Times New Roman" w:cs="Times New Roman"/>
          <w:sz w:val="24"/>
          <w:szCs w:val="24"/>
        </w:rPr>
        <w:t xml:space="preserve"> </w:t>
      </w:r>
      <w:r w:rsidRPr="00ED30A1">
        <w:rPr>
          <w:rFonts w:ascii="Times New Roman" w:eastAsia="Times New Roman" w:hAnsi="Times New Roman" w:cs="Times New Roman"/>
          <w:sz w:val="24"/>
          <w:szCs w:val="24"/>
        </w:rPr>
        <w:t>pluralism, and pursued anti-corruption reforms (Ishkanian 2021; Freedom House 2023).</w:t>
      </w:r>
    </w:p>
    <w:p w14:paraId="37D04F80" w14:textId="0C4D94F5" w:rsidR="00ED30A1" w:rsidRPr="00ED30A1" w:rsidRDefault="007D2E12" w:rsidP="00ED30A1">
      <w:pPr>
        <w:spacing w:before="120" w:after="120"/>
        <w:jc w:val="both"/>
        <w:rPr>
          <w:rFonts w:ascii="Times New Roman" w:eastAsia="Times New Roman" w:hAnsi="Times New Roman" w:cs="Times New Roman"/>
          <w:sz w:val="24"/>
          <w:szCs w:val="24"/>
        </w:rPr>
      </w:pPr>
      <w:r w:rsidRPr="007D2E12">
        <w:rPr>
          <w:rFonts w:ascii="Times New Roman" w:eastAsia="Times New Roman" w:hAnsi="Times New Roman" w:cs="Times New Roman"/>
          <w:sz w:val="24"/>
          <w:szCs w:val="24"/>
        </w:rPr>
        <w:t>Yet it is crucial to recognize that the unresolved status of Nagorno-Karabakh—and the broader state of protracted territorial conflict with Azerbaijan—has been the primary structural impediment to democratization in Armenia since independence. Even before the consolidation of th</w:t>
      </w:r>
      <w:r w:rsidR="002C1B82">
        <w:rPr>
          <w:rFonts w:ascii="Times New Roman" w:eastAsia="Times New Roman" w:hAnsi="Times New Roman" w:cs="Times New Roman"/>
          <w:sz w:val="24"/>
          <w:szCs w:val="24"/>
        </w:rPr>
        <w:t>e Karabakh leadership</w:t>
      </w:r>
      <w:r w:rsidRPr="007D2E12">
        <w:rPr>
          <w:rFonts w:ascii="Times New Roman" w:eastAsia="Times New Roman" w:hAnsi="Times New Roman" w:cs="Times New Roman"/>
          <w:sz w:val="24"/>
          <w:szCs w:val="24"/>
        </w:rPr>
        <w:t>, the very existence of an ongoing war effort entrenched a securitized political culture, diverted institutional resources, and justified limitations on political pluralism.</w:t>
      </w:r>
      <w:r w:rsidR="00ED30A1" w:rsidRPr="00ED30A1">
        <w:rPr>
          <w:rFonts w:ascii="Times New Roman" w:eastAsia="Times New Roman" w:hAnsi="Times New Roman" w:cs="Times New Roman"/>
          <w:sz w:val="24"/>
          <w:szCs w:val="24"/>
        </w:rPr>
        <w:t xml:space="preserve"> This trajectory invites theoretical reflection on the relationship between peace, borders, and democratic development.</w:t>
      </w:r>
    </w:p>
    <w:p w14:paraId="420D89F6" w14:textId="77777777" w:rsidR="00ED30A1" w:rsidRPr="00ED30A1" w:rsidRDefault="00ED30A1" w:rsidP="00ED30A1">
      <w:pPr>
        <w:spacing w:before="120" w:after="120"/>
        <w:jc w:val="both"/>
        <w:rPr>
          <w:rFonts w:ascii="Times New Roman" w:eastAsia="Times New Roman" w:hAnsi="Times New Roman" w:cs="Times New Roman"/>
          <w:sz w:val="24"/>
          <w:szCs w:val="24"/>
        </w:rPr>
      </w:pPr>
      <w:r w:rsidRPr="00ED30A1">
        <w:rPr>
          <w:rFonts w:ascii="Times New Roman" w:eastAsia="Times New Roman" w:hAnsi="Times New Roman" w:cs="Times New Roman"/>
          <w:sz w:val="24"/>
          <w:szCs w:val="24"/>
        </w:rPr>
        <w:t>To explore this, the article adopts the lens of the Territorial Peace Theory (TPT), a framework developed as a counterpoint to the more widely known Democratic Peace Theory (DPT). While DPT posits that democracies tend not to go to war with each other, TPT reverses the logic: it suggests that peace, especially in the form of stable borders and resolved territorial disputes, precedes and enables democratization (Gibler and Tir 2010; Gibler 2012). In environments where territorial conflict dominates public life, governments tend to centralize power, suppress dissent, and defer reform in the name of national defense. In contrast, when external threats subside—through peace agreements, border stabilization, or even defeat—opportunities emerge for civilian control, political liberalization, and reform (Gibler 2007; Tir and Jasinski 2008).</w:t>
      </w:r>
    </w:p>
    <w:p w14:paraId="70D71A9E" w14:textId="77777777" w:rsidR="00ED30A1" w:rsidRPr="00ED30A1" w:rsidRDefault="00ED30A1" w:rsidP="00ED30A1">
      <w:pPr>
        <w:spacing w:before="120" w:after="120"/>
        <w:jc w:val="both"/>
        <w:rPr>
          <w:rFonts w:ascii="Times New Roman" w:eastAsia="Times New Roman" w:hAnsi="Times New Roman" w:cs="Times New Roman"/>
          <w:sz w:val="24"/>
          <w:szCs w:val="24"/>
        </w:rPr>
      </w:pPr>
      <w:r w:rsidRPr="00ED30A1">
        <w:rPr>
          <w:rFonts w:ascii="Times New Roman" w:eastAsia="Times New Roman" w:hAnsi="Times New Roman" w:cs="Times New Roman"/>
          <w:sz w:val="24"/>
          <w:szCs w:val="24"/>
        </w:rPr>
        <w:t xml:space="preserve">Armenia, long governed by elites whose legitimacy was rooted in the wartime legacy of Karabakh, offers a particularly revealing case. The dismantling of the so-called Karabakh security order—including the erosion of power held by the “Karabakh clan” </w:t>
      </w:r>
      <w:bookmarkStart w:id="0" w:name="_Hlk198907199"/>
      <w:r w:rsidRPr="00ED30A1">
        <w:rPr>
          <w:rFonts w:ascii="Times New Roman" w:eastAsia="Times New Roman" w:hAnsi="Times New Roman" w:cs="Times New Roman"/>
          <w:sz w:val="24"/>
          <w:szCs w:val="24"/>
        </w:rPr>
        <w:t xml:space="preserve">(Ter-Petrosyan </w:t>
      </w:r>
      <w:proofErr w:type="gramStart"/>
      <w:r w:rsidRPr="00ED30A1">
        <w:rPr>
          <w:rFonts w:ascii="Times New Roman" w:eastAsia="Times New Roman" w:hAnsi="Times New Roman" w:cs="Times New Roman"/>
          <w:sz w:val="24"/>
          <w:szCs w:val="24"/>
        </w:rPr>
        <w:t>2008)</w:t>
      </w:r>
      <w:bookmarkEnd w:id="0"/>
      <w:r w:rsidRPr="00ED30A1">
        <w:rPr>
          <w:rFonts w:ascii="Times New Roman" w:eastAsia="Times New Roman" w:hAnsi="Times New Roman" w:cs="Times New Roman"/>
          <w:sz w:val="24"/>
          <w:szCs w:val="24"/>
        </w:rPr>
        <w:t>—</w:t>
      </w:r>
      <w:proofErr w:type="gramEnd"/>
      <w:r w:rsidRPr="00ED30A1">
        <w:rPr>
          <w:rFonts w:ascii="Times New Roman" w:eastAsia="Times New Roman" w:hAnsi="Times New Roman" w:cs="Times New Roman"/>
          <w:sz w:val="24"/>
          <w:szCs w:val="24"/>
        </w:rPr>
        <w:t>has triggered a recalibration of Armenia’s national identity and strategic priorities. The country’s shifting alliances, democratic endurance, and evolving civic discourse raise the possibility that territorial loss has become a condition—not an obstacle—for democratic consolidation.</w:t>
      </w:r>
    </w:p>
    <w:p w14:paraId="00000011" w14:textId="382DF249" w:rsidR="003D6E6D" w:rsidRDefault="00000000" w:rsidP="00ED30A1">
      <w:pPr>
        <w:spacing w:before="120" w:after="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recent months, there has been a great deal of insistence within the Armenian government on solutions that would allow for stability and peace. Moreover, concomitantly, if we take a look at the levels of economic and social growth and the increase in democratic standards and freedom of the press and expression in Armenia, these are rising considerably. All of this is set against a backdrop of peace deal negotiations that witnesses how Yerevan is at the forefront of efforts to strike a final and definitive deal, despite the fact that both defeat and rancour towards Baku are not over, however in doing so, it proves to be the</w:t>
      </w:r>
      <w:r w:rsidR="00A826C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peace-promoting actor in the region in the eyes of</w:t>
      </w:r>
      <w:r w:rsidR="00ED30A1">
        <w:rPr>
          <w:rFonts w:ascii="Times New Roman" w:eastAsia="Times New Roman" w:hAnsi="Times New Roman" w:cs="Times New Roman"/>
          <w:sz w:val="24"/>
          <w:szCs w:val="24"/>
        </w:rPr>
        <w:t xml:space="preserve"> the international community</w:t>
      </w:r>
      <w:r>
        <w:rPr>
          <w:rFonts w:ascii="Times New Roman" w:eastAsia="Times New Roman" w:hAnsi="Times New Roman" w:cs="Times New Roman"/>
          <w:sz w:val="24"/>
          <w:szCs w:val="24"/>
        </w:rPr>
        <w:t>, and essentially Aliyev and his own government have little excuse now to say that Armenia does not want stability in the region.</w:t>
      </w:r>
    </w:p>
    <w:p w14:paraId="51E8787E" w14:textId="77777777" w:rsidR="00AF36E9" w:rsidRDefault="00000000">
      <w:pPr>
        <w:spacing w:before="120" w:after="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final focus </w:t>
      </w:r>
      <w:r w:rsidR="00AF36E9">
        <w:rPr>
          <w:rFonts w:ascii="Times New Roman" w:eastAsia="Times New Roman" w:hAnsi="Times New Roman" w:cs="Times New Roman"/>
          <w:sz w:val="24"/>
          <w:szCs w:val="24"/>
        </w:rPr>
        <w:t xml:space="preserve">will be on the role of the EU in this process. </w:t>
      </w:r>
      <w:r w:rsidR="00AF36E9" w:rsidRPr="00AF36E9">
        <w:rPr>
          <w:rFonts w:ascii="Times New Roman" w:eastAsia="Times New Roman" w:hAnsi="Times New Roman" w:cs="Times New Roman"/>
          <w:sz w:val="24"/>
          <w:szCs w:val="24"/>
        </w:rPr>
        <w:t>Did the European Union play an important role in the post-conflict democrati</w:t>
      </w:r>
      <w:r w:rsidR="00AF36E9">
        <w:rPr>
          <w:rFonts w:ascii="Times New Roman" w:eastAsia="Times New Roman" w:hAnsi="Times New Roman" w:cs="Times New Roman"/>
          <w:sz w:val="24"/>
          <w:szCs w:val="24"/>
        </w:rPr>
        <w:t>z</w:t>
      </w:r>
      <w:r w:rsidR="00AF36E9" w:rsidRPr="00AF36E9">
        <w:rPr>
          <w:rFonts w:ascii="Times New Roman" w:eastAsia="Times New Roman" w:hAnsi="Times New Roman" w:cs="Times New Roman"/>
          <w:sz w:val="24"/>
          <w:szCs w:val="24"/>
        </w:rPr>
        <w:t>ation process in line with the logic of the TPT?</w:t>
      </w:r>
    </w:p>
    <w:p w14:paraId="00000012" w14:textId="2681856D" w:rsidR="003D6E6D" w:rsidRDefault="00000000">
      <w:pPr>
        <w:spacing w:before="120" w:after="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Overall, the article will provide insights that are useful both for the literature on Caucasus Conflicts and on EU external relations and policy in the</w:t>
      </w:r>
      <w:r w:rsidR="00A826CC">
        <w:rPr>
          <w:rFonts w:ascii="Times New Roman" w:eastAsia="Times New Roman" w:hAnsi="Times New Roman" w:cs="Times New Roman"/>
          <w:sz w:val="24"/>
          <w:szCs w:val="24"/>
        </w:rPr>
        <w:t xml:space="preserve"> South </w:t>
      </w:r>
      <w:r>
        <w:rPr>
          <w:rFonts w:ascii="Times New Roman" w:eastAsia="Times New Roman" w:hAnsi="Times New Roman" w:cs="Times New Roman"/>
          <w:sz w:val="24"/>
          <w:szCs w:val="24"/>
        </w:rPr>
        <w:t>Caucasus. Notably, it will provide profound insights for the literature on democratization processes and transitions, particularly for the one on postwar democratization.</w:t>
      </w:r>
    </w:p>
    <w:p w14:paraId="7C44B001" w14:textId="77777777" w:rsidR="006C7881" w:rsidRDefault="006C7881">
      <w:pPr>
        <w:spacing w:before="120" w:after="120"/>
        <w:jc w:val="both"/>
        <w:rPr>
          <w:rFonts w:ascii="Times New Roman" w:eastAsia="Times New Roman" w:hAnsi="Times New Roman" w:cs="Times New Roman"/>
          <w:sz w:val="24"/>
          <w:szCs w:val="24"/>
        </w:rPr>
      </w:pPr>
    </w:p>
    <w:p w14:paraId="789CBF51" w14:textId="497C2975" w:rsidR="006C7881" w:rsidRDefault="006C7881">
      <w:pPr>
        <w:spacing w:before="120" w:after="120"/>
        <w:jc w:val="both"/>
        <w:rPr>
          <w:rFonts w:ascii="Times New Roman" w:eastAsia="Times New Roman" w:hAnsi="Times New Roman" w:cs="Times New Roman"/>
          <w:b/>
          <w:sz w:val="28"/>
          <w:szCs w:val="28"/>
        </w:rPr>
      </w:pPr>
      <w:r w:rsidRPr="006C7881">
        <w:rPr>
          <w:rFonts w:ascii="Times New Roman" w:eastAsia="Times New Roman" w:hAnsi="Times New Roman" w:cs="Times New Roman"/>
          <w:b/>
          <w:sz w:val="28"/>
          <w:szCs w:val="28"/>
        </w:rPr>
        <w:t xml:space="preserve">The Territorial Peace Theory: Conceptual Foundations and Relevance for </w:t>
      </w:r>
      <w:r>
        <w:rPr>
          <w:rFonts w:ascii="Times New Roman" w:eastAsia="Times New Roman" w:hAnsi="Times New Roman" w:cs="Times New Roman"/>
          <w:b/>
          <w:sz w:val="28"/>
          <w:szCs w:val="28"/>
        </w:rPr>
        <w:t>the “</w:t>
      </w:r>
      <w:r w:rsidRPr="006C7881">
        <w:rPr>
          <w:rFonts w:ascii="Times New Roman" w:eastAsia="Times New Roman" w:hAnsi="Times New Roman" w:cs="Times New Roman"/>
          <w:b/>
          <w:sz w:val="28"/>
          <w:szCs w:val="28"/>
        </w:rPr>
        <w:t>Armenia</w:t>
      </w:r>
      <w:r>
        <w:rPr>
          <w:rFonts w:ascii="Times New Roman" w:eastAsia="Times New Roman" w:hAnsi="Times New Roman" w:cs="Times New Roman"/>
          <w:b/>
          <w:sz w:val="28"/>
          <w:szCs w:val="28"/>
        </w:rPr>
        <w:t>n case”</w:t>
      </w:r>
    </w:p>
    <w:p w14:paraId="0302D7CC" w14:textId="77777777" w:rsidR="006C7881" w:rsidRDefault="006C7881" w:rsidP="006C7881">
      <w:pPr>
        <w:spacing w:before="120" w:after="120"/>
        <w:jc w:val="both"/>
        <w:rPr>
          <w:rFonts w:ascii="Times New Roman" w:eastAsia="Times New Roman" w:hAnsi="Times New Roman" w:cs="Times New Roman"/>
          <w:sz w:val="24"/>
          <w:szCs w:val="24"/>
        </w:rPr>
      </w:pPr>
      <w:r w:rsidRPr="006C7881">
        <w:rPr>
          <w:rFonts w:ascii="Times New Roman" w:eastAsia="Times New Roman" w:hAnsi="Times New Roman" w:cs="Times New Roman"/>
          <w:sz w:val="24"/>
          <w:szCs w:val="24"/>
        </w:rPr>
        <w:t>Among the various theoretical approaches connecting war, peace, and democracy, the Territorial Peace Theory (TPT) provides a compelling and underutilized framework for interpreting Armenia’s recent political trajectory. Developed as a critique and complement to the Democratic Peace Theory (DPT), TPT reverses the causal logic that has dominated liberal IR and comparative politics for decades. While DPT suggests that democracies are more peaceful because of their internal norms and institutional constraints, TPT argues that peace—especially the resolution of territorial disputes—precedes and enables democratization (Gibler 2007; Gibler and Tir 2010).</w:t>
      </w:r>
    </w:p>
    <w:p w14:paraId="22A82989" w14:textId="3D94EF05" w:rsidR="00935E57" w:rsidRDefault="00935E57" w:rsidP="00935E57">
      <w:pPr>
        <w:spacing w:before="120" w:after="120"/>
        <w:jc w:val="both"/>
        <w:rPr>
          <w:rFonts w:ascii="Times New Roman" w:eastAsia="Times New Roman" w:hAnsi="Times New Roman" w:cs="Times New Roman"/>
          <w:sz w:val="24"/>
          <w:szCs w:val="24"/>
        </w:rPr>
      </w:pPr>
      <w:r w:rsidRPr="00935E57">
        <w:rPr>
          <w:rFonts w:ascii="Times New Roman" w:eastAsia="Times New Roman" w:hAnsi="Times New Roman" w:cs="Times New Roman"/>
          <w:sz w:val="24"/>
          <w:szCs w:val="24"/>
        </w:rPr>
        <w:t>By embracing institutional reforms, economic modernization, and regional diplomacy, Armenia has the potential to redefine its national trajectory beyond the framework of ethno-territorial conflict. The success of this transition will depend on the resilience of its democratic institutions, the adaptability of its leadership, and the willingness of regional and international partners to support Armenia’s new path. Further research is needed to assess the long-term effects of military defeat on democratization and state stability.</w:t>
      </w:r>
    </w:p>
    <w:p w14:paraId="0041342A" w14:textId="77777777" w:rsidR="007D2E12" w:rsidRPr="007D2E12" w:rsidRDefault="007D2E12" w:rsidP="006F1B04">
      <w:pPr>
        <w:jc w:val="both"/>
        <w:rPr>
          <w:rFonts w:ascii="Times New Roman" w:eastAsia="Times New Roman" w:hAnsi="Times New Roman" w:cs="Times New Roman"/>
          <w:sz w:val="24"/>
          <w:szCs w:val="24"/>
        </w:rPr>
      </w:pPr>
      <w:r w:rsidRPr="007D2E12">
        <w:rPr>
          <w:rFonts w:ascii="Times New Roman" w:eastAsia="Times New Roman" w:hAnsi="Times New Roman" w:cs="Times New Roman"/>
          <w:sz w:val="24"/>
          <w:szCs w:val="24"/>
        </w:rPr>
        <w:t>In this sense, the very presence of a frozen conflict in Nagorno-Karabakh functioned as a democratic barrier from the outset. From the early 1990s, Armenia operated under a de facto state of war, shaping political priorities around national survival and enabling the emergence of militarized legitimacy. TPT is especially relevant in such contexts, where territorial conflict is not simply an external affair, but a domestic conditioning factor that stunts the development of democratic norms, civilian oversight, and institutional autonomy.</w:t>
      </w:r>
    </w:p>
    <w:p w14:paraId="45B8C489" w14:textId="77777777" w:rsidR="006C7881" w:rsidRPr="006C7881" w:rsidRDefault="006C7881" w:rsidP="006C7881">
      <w:pPr>
        <w:spacing w:before="120" w:after="120"/>
        <w:jc w:val="both"/>
        <w:rPr>
          <w:rFonts w:ascii="Times New Roman" w:eastAsia="Times New Roman" w:hAnsi="Times New Roman" w:cs="Times New Roman"/>
          <w:sz w:val="24"/>
          <w:szCs w:val="24"/>
        </w:rPr>
      </w:pPr>
      <w:r w:rsidRPr="006C7881">
        <w:rPr>
          <w:rFonts w:ascii="Times New Roman" w:eastAsia="Times New Roman" w:hAnsi="Times New Roman" w:cs="Times New Roman"/>
          <w:sz w:val="24"/>
          <w:szCs w:val="24"/>
        </w:rPr>
        <w:t>The core assumption of TPT is that territorial conflict increases the likelihood of authoritarianism. States involved in active disputes tend to centralize power, maintain large security apparatuses, and justify restrictions on political freedom through national security concerns. Conversely, the resolution of border conflicts, whether through diplomatic settlement or even military defeat, reduces external threat perception and opens political space for institutional liberalization, demilitarization of politics, and democratic accountability (Gibler 2012; Tir and Jasinski 2008).</w:t>
      </w:r>
    </w:p>
    <w:p w14:paraId="4EE042CA" w14:textId="77777777" w:rsidR="006C7881" w:rsidRPr="006C7881" w:rsidRDefault="006C7881" w:rsidP="006C7881">
      <w:pPr>
        <w:spacing w:before="120" w:after="120"/>
        <w:jc w:val="both"/>
        <w:rPr>
          <w:rFonts w:ascii="Times New Roman" w:eastAsia="Times New Roman" w:hAnsi="Times New Roman" w:cs="Times New Roman"/>
          <w:sz w:val="24"/>
          <w:szCs w:val="24"/>
        </w:rPr>
      </w:pPr>
      <w:r w:rsidRPr="006C7881">
        <w:rPr>
          <w:rFonts w:ascii="Times New Roman" w:eastAsia="Times New Roman" w:hAnsi="Times New Roman" w:cs="Times New Roman"/>
          <w:sz w:val="24"/>
          <w:szCs w:val="24"/>
        </w:rPr>
        <w:t>TPT has been tested primarily through large-N empirical studies, which have found robust correlations between settled borders and regime transitions toward democracy. Gibler and Tir (2014) demonstrate that states without territorial disputes are significantly more likely to experience peaceful democratization than those embroiled in conflict. The theory also explains why authoritarian regimes are more prone to militarized interstate disputes: they may use external threats to consolidate domestic power (Trumbore and Boyer 2000; Bennett and Stam 2004).</w:t>
      </w:r>
    </w:p>
    <w:p w14:paraId="1E86219A" w14:textId="4E5AEF41" w:rsidR="006C7881" w:rsidRPr="006C7881" w:rsidRDefault="006C7881" w:rsidP="006C7881">
      <w:pPr>
        <w:spacing w:before="120" w:after="120"/>
        <w:jc w:val="both"/>
        <w:rPr>
          <w:rFonts w:ascii="Times New Roman" w:eastAsia="Times New Roman" w:hAnsi="Times New Roman" w:cs="Times New Roman"/>
          <w:sz w:val="24"/>
          <w:szCs w:val="24"/>
        </w:rPr>
      </w:pPr>
      <w:r w:rsidRPr="006C7881">
        <w:rPr>
          <w:rFonts w:ascii="Times New Roman" w:eastAsia="Times New Roman" w:hAnsi="Times New Roman" w:cs="Times New Roman"/>
          <w:sz w:val="24"/>
          <w:szCs w:val="24"/>
        </w:rPr>
        <w:t xml:space="preserve">However, the case of Armenia offers a unique opportunity to explore TPT in a semi-democratic, post-Soviet, post-conflict context. For much of its post-independence history, Armenia’s democratic development was constrained by its unresolved conflict with Azerbaijan over Nagorno-Karabakh. The political elite, particularly under the </w:t>
      </w:r>
      <w:r w:rsidR="008B31F7">
        <w:rPr>
          <w:rFonts w:ascii="Times New Roman" w:eastAsia="Times New Roman" w:hAnsi="Times New Roman" w:cs="Times New Roman"/>
          <w:sz w:val="24"/>
          <w:szCs w:val="24"/>
        </w:rPr>
        <w:t>Karabakh one</w:t>
      </w:r>
      <w:r w:rsidRPr="006C7881">
        <w:rPr>
          <w:rFonts w:ascii="Times New Roman" w:eastAsia="Times New Roman" w:hAnsi="Times New Roman" w:cs="Times New Roman"/>
          <w:sz w:val="24"/>
          <w:szCs w:val="24"/>
        </w:rPr>
        <w:t xml:space="preserve">—presidents Robert Kocharyan and Serzh Sargsyan—derived much of their legitimacy from wartime credentials and a securitized national identity centered on </w:t>
      </w:r>
      <w:r w:rsidR="008B31F7">
        <w:rPr>
          <w:rFonts w:ascii="Times New Roman" w:eastAsia="Times New Roman" w:hAnsi="Times New Roman" w:cs="Times New Roman"/>
          <w:sz w:val="24"/>
          <w:szCs w:val="24"/>
        </w:rPr>
        <w:t>Nagorno-Karabakh</w:t>
      </w:r>
      <w:r w:rsidRPr="006C7881">
        <w:rPr>
          <w:rFonts w:ascii="Times New Roman" w:eastAsia="Times New Roman" w:hAnsi="Times New Roman" w:cs="Times New Roman"/>
          <w:sz w:val="24"/>
          <w:szCs w:val="24"/>
        </w:rPr>
        <w:t xml:space="preserve"> (Broers 2019; Ter-Petrosyan 2008). This led to decades of political stagnation, restricted media and judicial independence, and limited civil society participation.</w:t>
      </w:r>
    </w:p>
    <w:p w14:paraId="68667A73" w14:textId="77777777" w:rsidR="006C7881" w:rsidRDefault="006C7881" w:rsidP="006C7881">
      <w:pPr>
        <w:spacing w:before="120" w:after="120"/>
        <w:jc w:val="both"/>
        <w:rPr>
          <w:rFonts w:ascii="Times New Roman" w:eastAsia="Times New Roman" w:hAnsi="Times New Roman" w:cs="Times New Roman"/>
          <w:sz w:val="24"/>
          <w:szCs w:val="24"/>
        </w:rPr>
      </w:pPr>
      <w:r w:rsidRPr="006C7881">
        <w:rPr>
          <w:rFonts w:ascii="Times New Roman" w:eastAsia="Times New Roman" w:hAnsi="Times New Roman" w:cs="Times New Roman"/>
          <w:sz w:val="24"/>
          <w:szCs w:val="24"/>
        </w:rPr>
        <w:t xml:space="preserve">The 2020 military defeat in the Second Nagorno-Karabakh War, followed by the effective dismantling of the Republic of Artsakh in 2023, produced not only a geopolitical rupture but a </w:t>
      </w:r>
      <w:r w:rsidRPr="006C7881">
        <w:rPr>
          <w:rFonts w:ascii="Times New Roman" w:eastAsia="Times New Roman" w:hAnsi="Times New Roman" w:cs="Times New Roman"/>
          <w:sz w:val="24"/>
          <w:szCs w:val="24"/>
        </w:rPr>
        <w:lastRenderedPageBreak/>
        <w:t>potential de-securitization of Armenia’s domestic political space. Prime Minister Nikol Pashinyan’s continued leadership—despite defeat—signals a new form of legitimacy grounded in electoral accountability rather than territorial defense. Armenia’s loss of Karabakh, though traumatic, may have removed the very factor that prevented democratic consolidation.</w:t>
      </w:r>
    </w:p>
    <w:p w14:paraId="15360D5D" w14:textId="77777777" w:rsidR="006C7881" w:rsidRDefault="006C7881" w:rsidP="006C7881">
      <w:pPr>
        <w:spacing w:before="120" w:after="120"/>
        <w:jc w:val="both"/>
        <w:rPr>
          <w:rFonts w:ascii="Times New Roman" w:eastAsia="Times New Roman" w:hAnsi="Times New Roman" w:cs="Times New Roman"/>
          <w:sz w:val="24"/>
          <w:szCs w:val="24"/>
        </w:rPr>
      </w:pPr>
      <w:r w:rsidRPr="006C7881">
        <w:rPr>
          <w:rFonts w:ascii="Times New Roman" w:eastAsia="Times New Roman" w:hAnsi="Times New Roman" w:cs="Times New Roman"/>
          <w:sz w:val="24"/>
          <w:szCs w:val="24"/>
        </w:rPr>
        <w:t>This hypothesis aligns with broader observations in TPT literature: territorial loss, paradoxically, can promote liberalization by discrediting militarized elites and reducing public tolerance for permanent states of exception (Waldner 2012; Ginsburg and Huq 2018). Indeed, Armenia’s slight improvements in democratic indicators—despite economic hardship and regional isolation—suggest that post-conflict environments may, under specific conditions, produce opportunities for civilian-led governance reform.</w:t>
      </w:r>
    </w:p>
    <w:p w14:paraId="795DF0CE" w14:textId="1A718FA8" w:rsidR="00233581" w:rsidRDefault="00233581" w:rsidP="006C7881">
      <w:pPr>
        <w:spacing w:before="120" w:after="120"/>
        <w:jc w:val="both"/>
        <w:rPr>
          <w:rFonts w:ascii="Times New Roman" w:eastAsia="Times New Roman" w:hAnsi="Times New Roman" w:cs="Times New Roman"/>
          <w:sz w:val="24"/>
          <w:szCs w:val="24"/>
        </w:rPr>
      </w:pPr>
      <w:r w:rsidRPr="00935E57">
        <w:rPr>
          <w:rFonts w:ascii="Times New Roman" w:eastAsia="Times New Roman" w:hAnsi="Times New Roman" w:cs="Times New Roman"/>
          <w:sz w:val="24"/>
          <w:szCs w:val="24"/>
        </w:rPr>
        <w:t>To explain the possibility of a continuation of democratization after defeat, it is</w:t>
      </w:r>
      <w:r>
        <w:rPr>
          <w:rFonts w:ascii="Times New Roman" w:eastAsia="Times New Roman" w:hAnsi="Times New Roman" w:cs="Times New Roman"/>
          <w:sz w:val="24"/>
          <w:szCs w:val="24"/>
        </w:rPr>
        <w:t xml:space="preserve"> also</w:t>
      </w:r>
      <w:r w:rsidRPr="00935E57">
        <w:rPr>
          <w:rFonts w:ascii="Times New Roman" w:eastAsia="Times New Roman" w:hAnsi="Times New Roman" w:cs="Times New Roman"/>
          <w:sz w:val="24"/>
          <w:szCs w:val="24"/>
        </w:rPr>
        <w:t xml:space="preserve"> worth considering the literature from Nancy Bermeo and Pereira Watts (Bermeo 2003; Bermeo 2010; Pereira Watts 2016). Some authors, albeit not many, focus on the element of war by linking it to how a military victory can lead to future stability and possible future democratization of the country (Fortna, Huang 2012).</w:t>
      </w:r>
      <w:r>
        <w:rPr>
          <w:rFonts w:ascii="Times New Roman" w:eastAsia="Times New Roman" w:hAnsi="Times New Roman" w:cs="Times New Roman"/>
          <w:sz w:val="24"/>
          <w:szCs w:val="24"/>
        </w:rPr>
        <w:t xml:space="preserve"> </w:t>
      </w:r>
      <w:r w:rsidRPr="00935E57">
        <w:rPr>
          <w:rFonts w:ascii="Times New Roman" w:eastAsia="Times New Roman" w:hAnsi="Times New Roman" w:cs="Times New Roman"/>
          <w:sz w:val="24"/>
          <w:szCs w:val="24"/>
        </w:rPr>
        <w:t>On the contrary, the classics in the democratization literature are surprisingly reticent about the links between defeat in war and lasting democracy. Most of our theoretical literature on democratic transitions or democratic consolidation leaves the connection to war either wholly neglected or seriously undertheorized. The two most important concepts that can be taken from the literature of Bermeo useful for this case are that of postwar democratization and pre-war levels of democracy, and, precisely in the case of Armenia, we can observe how pre-war levels of democracy have changed for the better and thus there has been progress in the post-war democratization process.</w:t>
      </w:r>
    </w:p>
    <w:p w14:paraId="4D153365" w14:textId="3EAC06E6" w:rsidR="00B55EF6" w:rsidRPr="006C7881" w:rsidRDefault="00B55EF6" w:rsidP="006C7881">
      <w:pPr>
        <w:spacing w:before="120" w:after="120"/>
        <w:jc w:val="both"/>
        <w:rPr>
          <w:rFonts w:ascii="Times New Roman" w:eastAsia="Times New Roman" w:hAnsi="Times New Roman" w:cs="Times New Roman"/>
          <w:sz w:val="24"/>
          <w:szCs w:val="24"/>
        </w:rPr>
      </w:pPr>
      <w:r w:rsidRPr="00935E57">
        <w:rPr>
          <w:rFonts w:ascii="Times New Roman" w:eastAsia="Times New Roman" w:hAnsi="Times New Roman" w:cs="Times New Roman"/>
          <w:sz w:val="24"/>
          <w:szCs w:val="24"/>
        </w:rPr>
        <w:t xml:space="preserve">Prime Minister Nikol Pashinyan stated that he would be willing to make changes to the constitution, by referendum, to ensure lasting peace and prosperity for the country. Hence, Armenia could be envisaged as a case of continued democratization and new stability after defeat since key reforms in governance, judiciary independence, and electoral transparency indicate an ongoing commitment to democratization (changes in postwar democratization and pre-war levels of democracy). Armenia’s economy has long been constrained by its reliance on remittances, limited trade routes, and geopolitical tensions. The resolution of the Nagorno-Karabakh conflict, however, presents an </w:t>
      </w:r>
      <w:r>
        <w:rPr>
          <w:rFonts w:ascii="Times New Roman" w:eastAsia="Times New Roman" w:hAnsi="Times New Roman" w:cs="Times New Roman"/>
          <w:sz w:val="24"/>
          <w:szCs w:val="24"/>
        </w:rPr>
        <w:t>“</w:t>
      </w:r>
      <w:r w:rsidRPr="00935E57">
        <w:rPr>
          <w:rFonts w:ascii="Times New Roman" w:eastAsia="Times New Roman" w:hAnsi="Times New Roman" w:cs="Times New Roman"/>
          <w:sz w:val="24"/>
          <w:szCs w:val="24"/>
        </w:rPr>
        <w:t>opportunity</w:t>
      </w:r>
      <w:r>
        <w:rPr>
          <w:rFonts w:ascii="Times New Roman" w:eastAsia="Times New Roman" w:hAnsi="Times New Roman" w:cs="Times New Roman"/>
          <w:sz w:val="24"/>
          <w:szCs w:val="24"/>
        </w:rPr>
        <w:t>”</w:t>
      </w:r>
      <w:r w:rsidRPr="00935E57">
        <w:rPr>
          <w:rFonts w:ascii="Times New Roman" w:eastAsia="Times New Roman" w:hAnsi="Times New Roman" w:cs="Times New Roman"/>
          <w:sz w:val="24"/>
          <w:szCs w:val="24"/>
        </w:rPr>
        <w:t xml:space="preserve"> for economic diversification as well, foreign investment, and regional cooperation. The prospect of reopening borders with Turkey and Azerbaijan, alongside deepening ties with the European Union, could create new economic prospects. While the loss of Nagorno-Karabakh is a painful chapter in Armenia’s history, it may also serve as a transformative moment for democratization and long-term stability. Another key point that can demonstrate this is the government's announcement of the ‘Real Armenia Agenda 2026’ (new election year). This expression very much denotes the fact that there will be a focus on what are the real reforms needed for the republic of Armenia on a social and economic level, leaving aside “revenge” aspects and external territorial claims. This announcement has created quite a few protests and discontent within the parliament and society, especially among the refugees from Nagorno-Karabakh, who see any chance of their return to their homeland undermined.</w:t>
      </w:r>
    </w:p>
    <w:p w14:paraId="2ACE3EB4" w14:textId="77777777" w:rsidR="006C7881" w:rsidRPr="006C7881" w:rsidRDefault="006C7881" w:rsidP="006C7881">
      <w:pPr>
        <w:spacing w:before="120" w:after="120"/>
        <w:jc w:val="both"/>
        <w:rPr>
          <w:rFonts w:ascii="Times New Roman" w:eastAsia="Times New Roman" w:hAnsi="Times New Roman" w:cs="Times New Roman"/>
          <w:sz w:val="24"/>
          <w:szCs w:val="24"/>
        </w:rPr>
      </w:pPr>
      <w:r w:rsidRPr="006C7881">
        <w:rPr>
          <w:rFonts w:ascii="Times New Roman" w:eastAsia="Times New Roman" w:hAnsi="Times New Roman" w:cs="Times New Roman"/>
          <w:sz w:val="24"/>
          <w:szCs w:val="24"/>
        </w:rPr>
        <w:t>Nonetheless, this application of TPT must be treated with caution. As explored in later sections, the fragility of Armenia’s democracy, combined with regional threats and limited security guarantees, challenges the linear assumptions of the theory. While Armenia may currently resemble a TPT case, its trajectory remains uncertain, and dependent on both internal resilience and sustained international support.</w:t>
      </w:r>
    </w:p>
    <w:p w14:paraId="352D65C8" w14:textId="77777777" w:rsidR="006C7881" w:rsidRDefault="006C7881" w:rsidP="006C7881">
      <w:pPr>
        <w:spacing w:before="120" w:after="120"/>
        <w:jc w:val="both"/>
        <w:rPr>
          <w:rFonts w:ascii="Times New Roman" w:eastAsia="Times New Roman" w:hAnsi="Times New Roman" w:cs="Times New Roman"/>
          <w:sz w:val="24"/>
          <w:szCs w:val="24"/>
        </w:rPr>
      </w:pPr>
      <w:r w:rsidRPr="006C7881">
        <w:rPr>
          <w:rFonts w:ascii="Times New Roman" w:eastAsia="Times New Roman" w:hAnsi="Times New Roman" w:cs="Times New Roman"/>
          <w:sz w:val="24"/>
          <w:szCs w:val="24"/>
        </w:rPr>
        <w:t xml:space="preserve">This chapter thus lays the foundation for the analysis that follows. By viewing Armenia’s domestic and foreign policy developments through the lens of Territorial Peace, the article aims to reframe </w:t>
      </w:r>
      <w:r w:rsidRPr="006C7881">
        <w:rPr>
          <w:rFonts w:ascii="Times New Roman" w:eastAsia="Times New Roman" w:hAnsi="Times New Roman" w:cs="Times New Roman"/>
          <w:sz w:val="24"/>
          <w:szCs w:val="24"/>
        </w:rPr>
        <w:lastRenderedPageBreak/>
        <w:t>debates on democratization after defeat and to assess whether the removal of territorial conflict can truly enable political transformation in fragile states.</w:t>
      </w:r>
    </w:p>
    <w:p w14:paraId="24FBED94" w14:textId="77777777" w:rsidR="004772CC" w:rsidRDefault="004772CC" w:rsidP="006C7881">
      <w:pPr>
        <w:spacing w:before="120" w:after="120"/>
        <w:jc w:val="both"/>
        <w:rPr>
          <w:rFonts w:ascii="Times New Roman" w:eastAsia="Times New Roman" w:hAnsi="Times New Roman" w:cs="Times New Roman"/>
          <w:b/>
          <w:sz w:val="28"/>
          <w:szCs w:val="28"/>
        </w:rPr>
      </w:pPr>
    </w:p>
    <w:p w14:paraId="51D2216F" w14:textId="5C0BDE04" w:rsidR="006C7881" w:rsidRDefault="00254218" w:rsidP="006C7881">
      <w:pPr>
        <w:spacing w:before="120" w:after="120"/>
        <w:jc w:val="both"/>
        <w:rPr>
          <w:rFonts w:ascii="Times New Roman" w:eastAsia="Times New Roman" w:hAnsi="Times New Roman" w:cs="Times New Roman"/>
          <w:b/>
          <w:sz w:val="28"/>
          <w:szCs w:val="28"/>
        </w:rPr>
      </w:pPr>
      <w:r w:rsidRPr="00254218">
        <w:rPr>
          <w:rFonts w:ascii="Times New Roman" w:eastAsia="Times New Roman" w:hAnsi="Times New Roman" w:cs="Times New Roman"/>
          <w:b/>
          <w:sz w:val="28"/>
          <w:szCs w:val="28"/>
        </w:rPr>
        <w:t xml:space="preserve">Breaking with the </w:t>
      </w:r>
      <w:r w:rsidR="00FF1FD5">
        <w:rPr>
          <w:rFonts w:ascii="Times New Roman" w:eastAsia="Times New Roman" w:hAnsi="Times New Roman" w:cs="Times New Roman"/>
          <w:b/>
          <w:sz w:val="28"/>
          <w:szCs w:val="28"/>
        </w:rPr>
        <w:t>“</w:t>
      </w:r>
      <w:r w:rsidRPr="00254218">
        <w:rPr>
          <w:rFonts w:ascii="Times New Roman" w:eastAsia="Times New Roman" w:hAnsi="Times New Roman" w:cs="Times New Roman"/>
          <w:b/>
          <w:sz w:val="28"/>
          <w:szCs w:val="28"/>
        </w:rPr>
        <w:t>Karabakhist Order</w:t>
      </w:r>
      <w:r w:rsidR="00FF1FD5">
        <w:rPr>
          <w:rFonts w:ascii="Times New Roman" w:eastAsia="Times New Roman" w:hAnsi="Times New Roman" w:cs="Times New Roman"/>
          <w:b/>
          <w:sz w:val="28"/>
          <w:szCs w:val="28"/>
        </w:rPr>
        <w:t>”</w:t>
      </w:r>
      <w:r w:rsidRPr="00254218">
        <w:rPr>
          <w:rFonts w:ascii="Times New Roman" w:eastAsia="Times New Roman" w:hAnsi="Times New Roman" w:cs="Times New Roman"/>
          <w:b/>
          <w:sz w:val="28"/>
          <w:szCs w:val="28"/>
        </w:rPr>
        <w:t>: Pashinyan’s Rise and the End of a Security-Centered Statehood</w:t>
      </w:r>
    </w:p>
    <w:p w14:paraId="10505D3D" w14:textId="6CB55A9B" w:rsidR="006A576C" w:rsidRPr="006A576C" w:rsidRDefault="006A576C" w:rsidP="006A576C">
      <w:pPr>
        <w:spacing w:before="120" w:after="120"/>
        <w:jc w:val="both"/>
        <w:rPr>
          <w:rFonts w:ascii="Times New Roman" w:eastAsia="Times New Roman" w:hAnsi="Times New Roman" w:cs="Times New Roman"/>
          <w:sz w:val="24"/>
          <w:szCs w:val="24"/>
        </w:rPr>
      </w:pPr>
      <w:r w:rsidRPr="006A576C">
        <w:rPr>
          <w:rFonts w:ascii="Times New Roman" w:eastAsia="Times New Roman" w:hAnsi="Times New Roman" w:cs="Times New Roman"/>
          <w:sz w:val="24"/>
          <w:szCs w:val="24"/>
        </w:rPr>
        <w:t xml:space="preserve">The emergence of Nikol Pashinyan as Armenia’s political leader in 2018 marked a watershed moment in the country's post-Soviet political trajectory. His rise through the Velvet Revolution—an unprecedented civic mobilization that led to the resignation of Serzh Sargsyan and a peaceful transfer of power—broke with the pattern of elite continuity that had dominated Armenian politics since independence. Most notably, Pashinyan’s leadership came to represent a symbolic rupture with the so-called “Karabakh </w:t>
      </w:r>
      <w:r w:rsidR="009A284A">
        <w:rPr>
          <w:rFonts w:ascii="Times New Roman" w:eastAsia="Times New Roman" w:hAnsi="Times New Roman" w:cs="Times New Roman"/>
          <w:sz w:val="24"/>
          <w:szCs w:val="24"/>
        </w:rPr>
        <w:t>elite</w:t>
      </w:r>
      <w:r w:rsidRPr="006A576C">
        <w:rPr>
          <w:rFonts w:ascii="Times New Roman" w:eastAsia="Times New Roman" w:hAnsi="Times New Roman" w:cs="Times New Roman"/>
          <w:sz w:val="24"/>
          <w:szCs w:val="24"/>
        </w:rPr>
        <w:t>” a term widely used to describe the political elite originating from Nagorno-Karabakh, particularly former Presidents Robert Kocharyan and Serzh Sargsyan.</w:t>
      </w:r>
    </w:p>
    <w:p w14:paraId="2DFFCFE2" w14:textId="37951551" w:rsidR="006A576C" w:rsidRDefault="006A576C" w:rsidP="006A576C">
      <w:pPr>
        <w:spacing w:before="120" w:after="120"/>
        <w:jc w:val="both"/>
        <w:rPr>
          <w:rFonts w:ascii="Times New Roman" w:eastAsia="Times New Roman" w:hAnsi="Times New Roman" w:cs="Times New Roman"/>
          <w:sz w:val="24"/>
          <w:szCs w:val="24"/>
        </w:rPr>
      </w:pPr>
      <w:r w:rsidRPr="006A576C">
        <w:rPr>
          <w:rFonts w:ascii="Times New Roman" w:eastAsia="Times New Roman" w:hAnsi="Times New Roman" w:cs="Times New Roman"/>
          <w:sz w:val="24"/>
          <w:szCs w:val="24"/>
        </w:rPr>
        <w:t>For nearly two decades, this group maintained a firm grip on Armenia’s political institutions, closely linking national identity and state legitimacy to the control and defense of Nagorno-Karabakh. Their rise to power in the 1990s followed Armenia’s military success in the First Karabakh War and was sustained by a political narrative that prioritized security, nationalism, and deference to military legitimacy over institutional liberalization. As a result, Armenia’s democratic development was stalled by what some scholars have termed a “securitized elite structure,” in which political power was deeply intertwined with war-era networks and territorial claims (Broers 2019; Ishkanian 2021).</w:t>
      </w:r>
    </w:p>
    <w:p w14:paraId="0E473622" w14:textId="1D3880EB" w:rsidR="006A576C" w:rsidRDefault="006A576C" w:rsidP="006A576C">
      <w:pPr>
        <w:spacing w:before="120" w:after="120"/>
        <w:jc w:val="both"/>
        <w:rPr>
          <w:rFonts w:ascii="Times New Roman" w:eastAsia="Times New Roman" w:hAnsi="Times New Roman" w:cs="Times New Roman"/>
          <w:sz w:val="24"/>
          <w:szCs w:val="24"/>
        </w:rPr>
      </w:pPr>
      <w:r w:rsidRPr="006A576C">
        <w:rPr>
          <w:rFonts w:ascii="Times New Roman" w:eastAsia="Times New Roman" w:hAnsi="Times New Roman" w:cs="Times New Roman"/>
          <w:sz w:val="24"/>
          <w:szCs w:val="24"/>
        </w:rPr>
        <w:t>From the early post-war period, Armenian political leadership had been largely monopolized by th</w:t>
      </w:r>
      <w:r>
        <w:rPr>
          <w:rFonts w:ascii="Times New Roman" w:eastAsia="Times New Roman" w:hAnsi="Times New Roman" w:cs="Times New Roman"/>
          <w:sz w:val="24"/>
          <w:szCs w:val="24"/>
        </w:rPr>
        <w:t xml:space="preserve">is </w:t>
      </w:r>
      <w:r w:rsidRPr="006A576C">
        <w:rPr>
          <w:rFonts w:ascii="Times New Roman" w:eastAsia="Times New Roman" w:hAnsi="Times New Roman" w:cs="Times New Roman"/>
          <w:sz w:val="24"/>
          <w:szCs w:val="24"/>
        </w:rPr>
        <w:t>so-calle</w:t>
      </w:r>
      <w:r>
        <w:rPr>
          <w:rFonts w:ascii="Times New Roman" w:eastAsia="Times New Roman" w:hAnsi="Times New Roman" w:cs="Times New Roman"/>
          <w:sz w:val="24"/>
          <w:szCs w:val="24"/>
        </w:rPr>
        <w:t>d “Karabakhist” model tradition</w:t>
      </w:r>
      <w:r w:rsidRPr="006A576C">
        <w:rPr>
          <w:rFonts w:ascii="Times New Roman" w:eastAsia="Times New Roman" w:hAnsi="Times New Roman" w:cs="Times New Roman"/>
          <w:sz w:val="24"/>
          <w:szCs w:val="24"/>
        </w:rPr>
        <w:t>—most notably former Presidents Robert Kocharyan and Serzh Sargsyan—who had built their authority on the victory in the First Nagorno-Karabakh War (1992–1994). Their legitimacy was grounded in narratives of national defense, territorial control, and the moral superiority of the Karabakh struggle, which shaped not only foreign policy but also Armenia’s domestic power structure (Broers 2019; Iskandaryan 2013).</w:t>
      </w:r>
    </w:p>
    <w:p w14:paraId="37720E21" w14:textId="581E0EFB" w:rsidR="006A576C" w:rsidRPr="006A576C" w:rsidRDefault="006A576C" w:rsidP="006A576C">
      <w:pPr>
        <w:spacing w:before="120" w:after="120"/>
        <w:jc w:val="both"/>
        <w:rPr>
          <w:rFonts w:ascii="Times New Roman" w:eastAsia="Times New Roman" w:hAnsi="Times New Roman" w:cs="Times New Roman"/>
          <w:sz w:val="24"/>
          <w:szCs w:val="24"/>
        </w:rPr>
      </w:pPr>
      <w:r w:rsidRPr="006A576C">
        <w:rPr>
          <w:rFonts w:ascii="Times New Roman" w:eastAsia="Times New Roman" w:hAnsi="Times New Roman" w:cs="Times New Roman"/>
          <w:sz w:val="24"/>
          <w:szCs w:val="24"/>
        </w:rPr>
        <w:t>In practice, this translated into a securitized model of governance, in which democratic reform was subordinated to perceived national existential threats. Institutions were frequently bypassed or co-opted, and political competition was limited through informal networks, clientelism, and the strategic use of war discourse. Scholars such as Way (2005) and Hale (2015) have described such regimes in the post-Soviet space as “patronal” or “hybrid” systems—where strong informal loyalties overshadow formal democratic structures, especially in conflict-prone environments.</w:t>
      </w:r>
    </w:p>
    <w:p w14:paraId="412FF024" w14:textId="7283C4AF" w:rsidR="006A576C" w:rsidRPr="006A576C" w:rsidRDefault="006A576C" w:rsidP="006A576C">
      <w:pPr>
        <w:spacing w:before="120" w:after="120"/>
        <w:jc w:val="both"/>
        <w:rPr>
          <w:rFonts w:ascii="Times New Roman" w:eastAsia="Times New Roman" w:hAnsi="Times New Roman" w:cs="Times New Roman"/>
          <w:sz w:val="24"/>
          <w:szCs w:val="24"/>
        </w:rPr>
      </w:pPr>
      <w:r w:rsidRPr="006A576C">
        <w:rPr>
          <w:rFonts w:ascii="Times New Roman" w:eastAsia="Times New Roman" w:hAnsi="Times New Roman" w:cs="Times New Roman"/>
          <w:sz w:val="24"/>
          <w:szCs w:val="24"/>
        </w:rPr>
        <w:t xml:space="preserve">Pashinyan’s rise through a non-violent, bottom-up movement challenged this entire model. As a former journalist, political prisoner, and outsider to the security elite, he symbolized the civilianization of Armenian politics. His discourse emphasized not territorial unity but anti-corruption, transparency, and the reconnection of the state to society (Ishkanian 2021; Grigoryan 2022). His movement attracted a broad base, particularly among urban youth and civil society actors, who had long been marginalized under the </w:t>
      </w:r>
      <w:r w:rsidR="00D522AD">
        <w:rPr>
          <w:rFonts w:ascii="Times New Roman" w:eastAsia="Times New Roman" w:hAnsi="Times New Roman" w:cs="Times New Roman"/>
          <w:sz w:val="24"/>
          <w:szCs w:val="24"/>
        </w:rPr>
        <w:t>securitized</w:t>
      </w:r>
      <w:r w:rsidRPr="006A576C">
        <w:rPr>
          <w:rFonts w:ascii="Times New Roman" w:eastAsia="Times New Roman" w:hAnsi="Times New Roman" w:cs="Times New Roman"/>
          <w:sz w:val="24"/>
          <w:szCs w:val="24"/>
        </w:rPr>
        <w:t xml:space="preserve"> state structure.</w:t>
      </w:r>
    </w:p>
    <w:p w14:paraId="1996618F" w14:textId="77777777" w:rsidR="00194240" w:rsidRDefault="006A576C" w:rsidP="006A576C">
      <w:pPr>
        <w:spacing w:before="120" w:after="120"/>
        <w:jc w:val="both"/>
        <w:rPr>
          <w:rFonts w:ascii="Times New Roman" w:eastAsia="Times New Roman" w:hAnsi="Times New Roman" w:cs="Times New Roman"/>
          <w:sz w:val="24"/>
          <w:szCs w:val="24"/>
        </w:rPr>
      </w:pPr>
      <w:r w:rsidRPr="006A576C">
        <w:rPr>
          <w:rFonts w:ascii="Times New Roman" w:eastAsia="Times New Roman" w:hAnsi="Times New Roman" w:cs="Times New Roman"/>
          <w:sz w:val="24"/>
          <w:szCs w:val="24"/>
        </w:rPr>
        <w:t xml:space="preserve">However, this break in leadership tradition was not immediate or total. After his election as prime minister, Pashinyan was forced to navigate a still-dominant security apparatus, an unreformed judiciary, and a bureaucracy shaped by the previous </w:t>
      </w:r>
      <w:r w:rsidR="009A284A">
        <w:rPr>
          <w:rFonts w:ascii="Times New Roman" w:eastAsia="Times New Roman" w:hAnsi="Times New Roman" w:cs="Times New Roman"/>
          <w:sz w:val="24"/>
          <w:szCs w:val="24"/>
        </w:rPr>
        <w:t>governments</w:t>
      </w:r>
      <w:r w:rsidRPr="006A576C">
        <w:rPr>
          <w:rFonts w:ascii="Times New Roman" w:eastAsia="Times New Roman" w:hAnsi="Times New Roman" w:cs="Times New Roman"/>
          <w:sz w:val="24"/>
          <w:szCs w:val="24"/>
        </w:rPr>
        <w:t xml:space="preserve">. The unresolved status of Nagorno-Karabakh also limited his ability to fully distance the state from militarized nationalism. Until the 2020 war, he continued to make rhetorical commitments to the defense of </w:t>
      </w:r>
      <w:r w:rsidR="00D522AD">
        <w:rPr>
          <w:rFonts w:ascii="Times New Roman" w:eastAsia="Times New Roman" w:hAnsi="Times New Roman" w:cs="Times New Roman"/>
          <w:sz w:val="24"/>
          <w:szCs w:val="24"/>
        </w:rPr>
        <w:t>Nagorno-Karabakh</w:t>
      </w:r>
      <w:r w:rsidRPr="006A576C">
        <w:rPr>
          <w:rFonts w:ascii="Times New Roman" w:eastAsia="Times New Roman" w:hAnsi="Times New Roman" w:cs="Times New Roman"/>
          <w:sz w:val="24"/>
          <w:szCs w:val="24"/>
        </w:rPr>
        <w:t>, even as his government pushed for institutional reform at home.</w:t>
      </w:r>
    </w:p>
    <w:p w14:paraId="003F36DC" w14:textId="394B5205" w:rsidR="006A576C" w:rsidRPr="006A576C" w:rsidRDefault="006A576C" w:rsidP="006A576C">
      <w:pPr>
        <w:spacing w:before="120" w:after="120"/>
        <w:jc w:val="both"/>
        <w:rPr>
          <w:rFonts w:ascii="Times New Roman" w:eastAsia="Times New Roman" w:hAnsi="Times New Roman" w:cs="Times New Roman"/>
          <w:sz w:val="24"/>
          <w:szCs w:val="24"/>
        </w:rPr>
      </w:pPr>
      <w:r w:rsidRPr="006A576C">
        <w:rPr>
          <w:rFonts w:ascii="Times New Roman" w:eastAsia="Times New Roman" w:hAnsi="Times New Roman" w:cs="Times New Roman"/>
          <w:sz w:val="24"/>
          <w:szCs w:val="24"/>
        </w:rPr>
        <w:lastRenderedPageBreak/>
        <w:t>From the perspective of Territorial Peace Theory, this period (2018–2020) can be understood as a liminal moment: the seeds of democratization were planted, but the structure of territorial conflict still constrained full liberalization. Only with the 2020 defeat and the 2023 collapse of the Artsakh</w:t>
      </w:r>
      <w:r w:rsidR="00D522AD">
        <w:rPr>
          <w:rFonts w:ascii="Times New Roman" w:eastAsia="Times New Roman" w:hAnsi="Times New Roman" w:cs="Times New Roman"/>
          <w:sz w:val="24"/>
          <w:szCs w:val="24"/>
        </w:rPr>
        <w:t xml:space="preserve"> republic</w:t>
      </w:r>
      <w:r w:rsidRPr="006A576C">
        <w:rPr>
          <w:rFonts w:ascii="Times New Roman" w:eastAsia="Times New Roman" w:hAnsi="Times New Roman" w:cs="Times New Roman"/>
          <w:sz w:val="24"/>
          <w:szCs w:val="24"/>
        </w:rPr>
        <w:t xml:space="preserve"> entity did a clearer </w:t>
      </w:r>
      <w:r>
        <w:rPr>
          <w:rFonts w:ascii="Times New Roman" w:eastAsia="Times New Roman" w:hAnsi="Times New Roman" w:cs="Times New Roman"/>
          <w:sz w:val="24"/>
          <w:szCs w:val="24"/>
        </w:rPr>
        <w:t>“</w:t>
      </w:r>
      <w:r w:rsidRPr="006A576C">
        <w:rPr>
          <w:rFonts w:ascii="Times New Roman" w:eastAsia="Times New Roman" w:hAnsi="Times New Roman" w:cs="Times New Roman"/>
          <w:sz w:val="24"/>
          <w:szCs w:val="24"/>
        </w:rPr>
        <w:t>opportunity</w:t>
      </w:r>
      <w:r>
        <w:rPr>
          <w:rFonts w:ascii="Times New Roman" w:eastAsia="Times New Roman" w:hAnsi="Times New Roman" w:cs="Times New Roman"/>
          <w:sz w:val="24"/>
          <w:szCs w:val="24"/>
        </w:rPr>
        <w:t>”</w:t>
      </w:r>
      <w:r w:rsidRPr="006A576C">
        <w:rPr>
          <w:rFonts w:ascii="Times New Roman" w:eastAsia="Times New Roman" w:hAnsi="Times New Roman" w:cs="Times New Roman"/>
          <w:sz w:val="24"/>
          <w:szCs w:val="24"/>
        </w:rPr>
        <w:t xml:space="preserve"> emerge for the de-securitization of state power and the full assertion of civilian political authority.</w:t>
      </w:r>
    </w:p>
    <w:p w14:paraId="655E84B7" w14:textId="77777777" w:rsidR="006A576C" w:rsidRPr="006A576C" w:rsidRDefault="006A576C" w:rsidP="006A576C">
      <w:pPr>
        <w:spacing w:before="120" w:after="120"/>
        <w:jc w:val="both"/>
        <w:rPr>
          <w:rFonts w:ascii="Times New Roman" w:eastAsia="Times New Roman" w:hAnsi="Times New Roman" w:cs="Times New Roman"/>
          <w:sz w:val="24"/>
          <w:szCs w:val="24"/>
        </w:rPr>
      </w:pPr>
      <w:r w:rsidRPr="006A576C">
        <w:rPr>
          <w:rFonts w:ascii="Times New Roman" w:eastAsia="Times New Roman" w:hAnsi="Times New Roman" w:cs="Times New Roman"/>
          <w:sz w:val="24"/>
          <w:szCs w:val="24"/>
        </w:rPr>
        <w:t>Indeed, Pashinyan’s continued legitimacy despite defeat may be interpreted as part of this transition. Voters in the 2021 snap elections opted to reaffirm a civilian-led, reform-oriented leadership rather than return to the nationalist-military establishment represented by former president Kocharyan. This suggests a shift in the societal basis of legitimacy: from military victory to democratic accountability, from territory to governance.</w:t>
      </w:r>
    </w:p>
    <w:p w14:paraId="0880E5CB" w14:textId="4E45EFD2" w:rsidR="006A576C" w:rsidRPr="006C7881" w:rsidRDefault="006A576C" w:rsidP="006A576C">
      <w:pPr>
        <w:spacing w:before="120" w:after="120"/>
        <w:jc w:val="both"/>
        <w:rPr>
          <w:rFonts w:ascii="Times New Roman" w:eastAsia="Times New Roman" w:hAnsi="Times New Roman" w:cs="Times New Roman"/>
          <w:sz w:val="24"/>
          <w:szCs w:val="24"/>
        </w:rPr>
      </w:pPr>
      <w:r w:rsidRPr="006A576C">
        <w:rPr>
          <w:rFonts w:ascii="Times New Roman" w:eastAsia="Times New Roman" w:hAnsi="Times New Roman" w:cs="Times New Roman"/>
          <w:sz w:val="24"/>
          <w:szCs w:val="24"/>
        </w:rPr>
        <w:t>Yet, the durability of this shift remains in question. Protests led by nationalist and clerical factions—such as the 2022 Tavush for the Homeland movement—indicate that revanchist forces are still active, and that the old discourse of territorial grievance can be mobilized under pressure. Nevertheless, the initial break with the Karabakh-centric power structure initiated by Pashinyan laid the groundwork for the post-defeat transformation explored in the next chapters.</w:t>
      </w:r>
    </w:p>
    <w:p w14:paraId="00000016" w14:textId="53186608" w:rsidR="003D6E6D" w:rsidRDefault="006A576C" w:rsidP="006C7881">
      <w:pPr>
        <w:spacing w:before="120" w:after="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interesting also to </w:t>
      </w:r>
      <w:r w:rsidR="0055136F" w:rsidRPr="0055136F">
        <w:rPr>
          <w:rFonts w:ascii="Times New Roman" w:eastAsia="Times New Roman" w:hAnsi="Times New Roman" w:cs="Times New Roman"/>
          <w:sz w:val="24"/>
          <w:szCs w:val="24"/>
        </w:rPr>
        <w:t xml:space="preserve">retrace some exemplary historical passages through crucial documents and </w:t>
      </w:r>
      <w:r w:rsidR="00EB654F">
        <w:rPr>
          <w:rFonts w:ascii="Times New Roman" w:eastAsia="Times New Roman" w:hAnsi="Times New Roman" w:cs="Times New Roman"/>
          <w:sz w:val="24"/>
          <w:szCs w:val="24"/>
        </w:rPr>
        <w:t>meetings</w:t>
      </w:r>
      <w:r w:rsidR="0055136F" w:rsidRPr="0055136F">
        <w:rPr>
          <w:rFonts w:ascii="Times New Roman" w:eastAsia="Times New Roman" w:hAnsi="Times New Roman" w:cs="Times New Roman"/>
          <w:sz w:val="24"/>
          <w:szCs w:val="24"/>
        </w:rPr>
        <w:t xml:space="preserve"> that demonstrate the pre-2018 treatment of </w:t>
      </w:r>
      <w:r w:rsidR="00EB654F">
        <w:rPr>
          <w:rFonts w:ascii="Times New Roman" w:eastAsia="Times New Roman" w:hAnsi="Times New Roman" w:cs="Times New Roman"/>
          <w:sz w:val="24"/>
          <w:szCs w:val="24"/>
        </w:rPr>
        <w:t xml:space="preserve">the </w:t>
      </w:r>
      <w:r w:rsidR="0055136F" w:rsidRPr="0055136F">
        <w:rPr>
          <w:rFonts w:ascii="Times New Roman" w:eastAsia="Times New Roman" w:hAnsi="Times New Roman" w:cs="Times New Roman"/>
          <w:sz w:val="24"/>
          <w:szCs w:val="24"/>
        </w:rPr>
        <w:t>Nagorno-Karabakh</w:t>
      </w:r>
      <w:r w:rsidR="00EB654F">
        <w:rPr>
          <w:rFonts w:ascii="Times New Roman" w:eastAsia="Times New Roman" w:hAnsi="Times New Roman" w:cs="Times New Roman"/>
          <w:sz w:val="24"/>
          <w:szCs w:val="24"/>
        </w:rPr>
        <w:t xml:space="preserve"> issue</w:t>
      </w:r>
      <w:r w:rsidR="0055136F" w:rsidRPr="0055136F">
        <w:rPr>
          <w:rFonts w:ascii="Times New Roman" w:eastAsia="Times New Roman" w:hAnsi="Times New Roman" w:cs="Times New Roman"/>
          <w:sz w:val="24"/>
          <w:szCs w:val="24"/>
        </w:rPr>
        <w:t xml:space="preserve"> in a context we might </w:t>
      </w:r>
      <w:r w:rsidR="00EB654F">
        <w:rPr>
          <w:rFonts w:ascii="Times New Roman" w:eastAsia="Times New Roman" w:hAnsi="Times New Roman" w:cs="Times New Roman"/>
          <w:sz w:val="24"/>
          <w:szCs w:val="24"/>
        </w:rPr>
        <w:t>define</w:t>
      </w:r>
      <w:r w:rsidR="0055136F" w:rsidRPr="0055136F">
        <w:rPr>
          <w:rFonts w:ascii="Times New Roman" w:eastAsia="Times New Roman" w:hAnsi="Times New Roman" w:cs="Times New Roman"/>
          <w:sz w:val="24"/>
          <w:szCs w:val="24"/>
        </w:rPr>
        <w:t xml:space="preserve"> of non-TPT</w:t>
      </w:r>
      <w:r w:rsidR="00EB654F">
        <w:rPr>
          <w:rFonts w:ascii="Times New Roman" w:eastAsia="Times New Roman" w:hAnsi="Times New Roman" w:cs="Times New Roman"/>
          <w:sz w:val="24"/>
          <w:szCs w:val="24"/>
        </w:rPr>
        <w:t>.</w:t>
      </w:r>
    </w:p>
    <w:p w14:paraId="00000017" w14:textId="7487C76E" w:rsidR="003D6E6D" w:rsidRDefault="00000000">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first</w:t>
      </w:r>
      <w:r w:rsidR="00D522A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is the “Package” Option 1997. This proposal, which tackled both Karabakh’s legal status as well as security issues together, as a package, envisaged the inclusion of Karabakh within Azerbaijan as a broadly autonomous national and territorial entity. Karabakh would maintain a connection with Armenia through the Lachin corridor, which had come under Armenian control during the first Karabakh war, and which Azerbaijan would lease to the OSCE Minsk Group – a negotiating body chaired by Russia, US, and France, tasked with finding a solution to the Karabakh conflict. The Minsk Group would provide the use of the corridor exclusively to the Nagorno-Karabakh authorities. The remaining territories that had come under Armenian control during the war would be returned to Azerbaijani control. Then-Armenian President Levon Ter-Petrossian was in favor of this proposal, but it was rejected by a majority of Armenia’s senior leadership and the Karabakh leadership.</w:t>
      </w:r>
      <w:r>
        <w:rPr>
          <w:rFonts w:ascii="Times New Roman" w:eastAsia="Times New Roman" w:hAnsi="Times New Roman" w:cs="Times New Roman"/>
          <w:sz w:val="24"/>
          <w:szCs w:val="24"/>
          <w:vertAlign w:val="superscript"/>
        </w:rPr>
        <w:footnoteReference w:id="1"/>
      </w:r>
    </w:p>
    <w:p w14:paraId="00000018" w14:textId="77777777" w:rsidR="003D6E6D" w:rsidRDefault="00000000">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1997 it has been proposed the “Step-by-Step” Option and essentially the points were four: </w:t>
      </w:r>
    </w:p>
    <w:p w14:paraId="00000019" w14:textId="77777777" w:rsidR="003D6E6D" w:rsidRDefault="00000000">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the gradual return of the territories outside the Nagorno Karabakh Autonomous Region (NKAO) to Azerbaijan, except for the Lachin region; 2) deployment of peacekeepers; 3) provision of security guarantees for the Armenian population of Nagorno Karabakh; 4) the final determination of Karabakh’s legal status to come in later negotiations.</w:t>
      </w:r>
    </w:p>
    <w:p w14:paraId="0000001A" w14:textId="77777777" w:rsidR="003D6E6D" w:rsidRDefault="00000000">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Then-Armenian President Levon Ter-Petrossian was in favor of this proposal, but as the “package” proposal, this was also rejected by Armenia’s senior leadership and the Karabakh leadership.</w:t>
      </w:r>
      <w:r>
        <w:rPr>
          <w:rFonts w:ascii="Times New Roman" w:eastAsia="Times New Roman" w:hAnsi="Times New Roman" w:cs="Times New Roman"/>
          <w:sz w:val="24"/>
          <w:szCs w:val="24"/>
          <w:vertAlign w:val="superscript"/>
        </w:rPr>
        <w:footnoteReference w:id="2"/>
      </w:r>
      <w:r>
        <w:rPr>
          <w:rFonts w:ascii="Times New Roman" w:eastAsia="Times New Roman" w:hAnsi="Times New Roman" w:cs="Times New Roman"/>
          <w:sz w:val="24"/>
          <w:szCs w:val="24"/>
        </w:rPr>
        <w:t xml:space="preserve"> From this point on, it can be seen that most of the proposed solutions will be rejected by Azerbaijan instead, almost as a reaction probably to the previous outcomes. This, just when, according to some scholars, even Armenia itself, including the Karabakh leaders, would perhaps have been willing to accept some </w:t>
      </w:r>
      <w:r>
        <w:rPr>
          <w:rFonts w:ascii="Times New Roman" w:eastAsia="Times New Roman" w:hAnsi="Times New Roman" w:cs="Times New Roman"/>
          <w:sz w:val="24"/>
          <w:szCs w:val="24"/>
        </w:rPr>
        <w:lastRenderedPageBreak/>
        <w:t>solutions. The first example is that of 1998 – “Common State” Proposal. This proposal was introduced by then-Russian Foreign Minister Yevgeny Primakov. This plan presupposed a common state comprising Azerbaijan and Karabakh, which would mean horizontal relations between Baku and Stepanakert, and not a hierarchical one. Azerbaijan rejected this plan before Armenia and Karabakh had a chance to react.</w:t>
      </w:r>
      <w:r>
        <w:rPr>
          <w:rFonts w:ascii="Times New Roman" w:eastAsia="Times New Roman" w:hAnsi="Times New Roman" w:cs="Times New Roman"/>
          <w:sz w:val="24"/>
          <w:szCs w:val="24"/>
          <w:vertAlign w:val="superscript"/>
        </w:rPr>
        <w:footnoteReference w:id="3"/>
      </w:r>
    </w:p>
    <w:p w14:paraId="0000001B" w14:textId="77777777" w:rsidR="003D6E6D" w:rsidRDefault="00000000">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Then, later we have the “2001 – Key West Negotiations”. In these negotiations, the first aspects to be highlighted are the unification of Nagorno Karabakh’s (NKAO territories) with Armenia via the Lachin corridor and the return of territories outside NKAO to Azerbaijan. At the end, it is interesting to see how there is a focus on the guarantees of unobstructed communication and transportation between Azerbaijan and Nakhichevan to be addressed through overpasses or bridges. Azerbaijani President Heydar Aliyev agreed to the plan at Key West, but rejected the plan upon being met with opposition when he returned to Baku.</w:t>
      </w:r>
      <w:r>
        <w:rPr>
          <w:rFonts w:ascii="Times New Roman" w:eastAsia="Times New Roman" w:hAnsi="Times New Roman" w:cs="Times New Roman"/>
          <w:sz w:val="24"/>
          <w:szCs w:val="24"/>
          <w:vertAlign w:val="superscript"/>
        </w:rPr>
        <w:footnoteReference w:id="4"/>
      </w:r>
    </w:p>
    <w:p w14:paraId="0000001C" w14:textId="77777777" w:rsidR="003D6E6D" w:rsidRDefault="00000000">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Finally, there is an interesting document, “The Madrid Document”. Nonetheless, this document as well won’t be taken into consideration by both sides. The Madrid Document was based on the premise (which came to be known as the Madrid Principles) that the resolution of the conflict would require addressing four aspects: security, status, return of refugees and return of territories. The document was submitted to that year’s OSCE Ministerial Council meeting, convened in Madrid. The Madrid Document proposal can be resumed in six crucial points:</w:t>
      </w:r>
    </w:p>
    <w:p w14:paraId="2555B8A2" w14:textId="77777777" w:rsidR="00D556EC" w:rsidRDefault="00000000" w:rsidP="00D556EC">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Future determination of the final legal status of Nagorno-Karabakh through a legally binding expression of “will (or referendum)”; 2) An interim status for Nagorno-Karabakh providing guarantees for security and self-governance; 3) The return of the seven territories under Armenian control, surrounding Nagorno-Karabakh, to Azerbaijani control; with two of those territories – Kelbajar and Lachin – being returned at a later date; 4) A corridor linking Armenia to Nagorno-Karabakh; 5) The right of all internally displaced persons and refugees to return to their former places of residence; 6) International security guarantees that would include a peacekeeping operation.</w:t>
      </w:r>
      <w:r>
        <w:rPr>
          <w:rFonts w:ascii="Times New Roman" w:eastAsia="Times New Roman" w:hAnsi="Times New Roman" w:cs="Times New Roman"/>
          <w:sz w:val="24"/>
          <w:szCs w:val="24"/>
          <w:vertAlign w:val="superscript"/>
        </w:rPr>
        <w:footnoteReference w:id="5"/>
      </w:r>
    </w:p>
    <w:p w14:paraId="7B0DA29D" w14:textId="2E001A36" w:rsidR="00D556EC" w:rsidRPr="00D556EC" w:rsidRDefault="00D556EC" w:rsidP="00D556EC">
      <w:pPr>
        <w:jc w:val="both"/>
        <w:rPr>
          <w:rFonts w:ascii="Times New Roman" w:eastAsia="Times New Roman" w:hAnsi="Times New Roman" w:cs="Times New Roman"/>
          <w:sz w:val="24"/>
          <w:szCs w:val="24"/>
        </w:rPr>
      </w:pPr>
      <w:r w:rsidRPr="00D556EC">
        <w:rPr>
          <w:rFonts w:ascii="Times New Roman" w:eastAsia="Times New Roman" w:hAnsi="Times New Roman" w:cs="Times New Roman"/>
          <w:sz w:val="24"/>
          <w:szCs w:val="24"/>
        </w:rPr>
        <w:t xml:space="preserve">The historical record of pre-2018 peace proposals—from the 1997 “Package” and “Step-by-Step” options to the Key West negotiations and the Madrid Principles—highlights the structural entrenchment of the Nagorno-Karabakh conflict within Armenia’s political architecture. The repeated rejection of these frameworks by both Armenian and </w:t>
      </w:r>
      <w:r w:rsidR="00B415D3">
        <w:rPr>
          <w:rFonts w:ascii="Times New Roman" w:eastAsia="Times New Roman" w:hAnsi="Times New Roman" w:cs="Times New Roman"/>
          <w:sz w:val="24"/>
          <w:szCs w:val="24"/>
        </w:rPr>
        <w:t xml:space="preserve">especially </w:t>
      </w:r>
      <w:r w:rsidRPr="00D556EC">
        <w:rPr>
          <w:rFonts w:ascii="Times New Roman" w:eastAsia="Times New Roman" w:hAnsi="Times New Roman" w:cs="Times New Roman"/>
          <w:sz w:val="24"/>
          <w:szCs w:val="24"/>
        </w:rPr>
        <w:t>Karabakh elites illustrates the extent to which domestic legitimacy and state authority were conditioned by unresolved territorial claims and securitized narratives.</w:t>
      </w:r>
      <w:r>
        <w:rPr>
          <w:rFonts w:ascii="Times New Roman" w:eastAsia="Times New Roman" w:hAnsi="Times New Roman" w:cs="Times New Roman"/>
          <w:sz w:val="24"/>
          <w:szCs w:val="24"/>
        </w:rPr>
        <w:t xml:space="preserve"> </w:t>
      </w:r>
      <w:r w:rsidRPr="00D556EC">
        <w:rPr>
          <w:rFonts w:ascii="Times New Roman" w:eastAsia="Times New Roman" w:hAnsi="Times New Roman" w:cs="Times New Roman"/>
          <w:sz w:val="24"/>
          <w:szCs w:val="24"/>
        </w:rPr>
        <w:t>Within this context, the emergence of Nikol Pashinyan represented more than a leadership transition: it signaled a paradigmatic rupture in the foundations of post-Soviet Armenian governance. By decentering the nationalist-military legacy of the “Karabakhist” elite and foregrounding a reformist, civilian-centered discourse, Pashinyan initiated a reorientation of Armenia’s state-building trajectory—away from coercive legitimacy based on conflict, toward a model rooted in institutional accountability and civic participation.</w:t>
      </w:r>
    </w:p>
    <w:p w14:paraId="6C9F9657" w14:textId="297183B4" w:rsidR="00D556EC" w:rsidRPr="00D556EC" w:rsidRDefault="00D556EC" w:rsidP="00D556EC">
      <w:pPr>
        <w:spacing w:before="100" w:beforeAutospacing="1" w:after="100" w:afterAutospacing="1" w:line="240" w:lineRule="auto"/>
        <w:jc w:val="both"/>
        <w:rPr>
          <w:rFonts w:ascii="Times New Roman" w:eastAsia="Times New Roman" w:hAnsi="Times New Roman" w:cs="Times New Roman"/>
          <w:sz w:val="24"/>
          <w:szCs w:val="24"/>
        </w:rPr>
      </w:pPr>
      <w:r w:rsidRPr="00D556EC">
        <w:rPr>
          <w:rFonts w:ascii="Times New Roman" w:eastAsia="Times New Roman" w:hAnsi="Times New Roman" w:cs="Times New Roman"/>
          <w:sz w:val="24"/>
          <w:szCs w:val="24"/>
        </w:rPr>
        <w:t xml:space="preserve">This chapter has traced the continuities and disruptions within Armenia’s political leadership and its relationship to the Karabakh issue. The analysis situates Pashinyan’s rise as a critical juncture—amplified by the exogenous shock of military defeat in 2020 and the formal disintegration of the </w:t>
      </w:r>
      <w:r w:rsidR="00B415D3">
        <w:rPr>
          <w:rFonts w:ascii="Times New Roman" w:eastAsia="Times New Roman" w:hAnsi="Times New Roman" w:cs="Times New Roman"/>
          <w:sz w:val="24"/>
          <w:szCs w:val="24"/>
        </w:rPr>
        <w:lastRenderedPageBreak/>
        <w:t>Nagorno-Karabakh</w:t>
      </w:r>
      <w:r w:rsidRPr="00D556EC">
        <w:rPr>
          <w:rFonts w:ascii="Times New Roman" w:eastAsia="Times New Roman" w:hAnsi="Times New Roman" w:cs="Times New Roman"/>
          <w:sz w:val="24"/>
          <w:szCs w:val="24"/>
        </w:rPr>
        <w:t xml:space="preserve"> entity in 2023—that may have opened a path toward the de-securitization of governance. The extent to which this transformation can be consolidated, however, remains contested.</w:t>
      </w:r>
      <w:r>
        <w:rPr>
          <w:rFonts w:ascii="Times New Roman" w:eastAsia="Times New Roman" w:hAnsi="Times New Roman" w:cs="Times New Roman"/>
          <w:sz w:val="24"/>
          <w:szCs w:val="24"/>
        </w:rPr>
        <w:t xml:space="preserve"> </w:t>
      </w:r>
      <w:r w:rsidRPr="00D556EC">
        <w:rPr>
          <w:rFonts w:ascii="Times New Roman" w:eastAsia="Times New Roman" w:hAnsi="Times New Roman" w:cs="Times New Roman"/>
          <w:sz w:val="24"/>
          <w:szCs w:val="24"/>
        </w:rPr>
        <w:t>The following chapters examine whether this post-conflict moment constitutes a genuine case of democratization consistent with the logics of Territorial Peace Theory, and whether it enables a sustained process of civilian-led state/nation-building in the face of geopolitical uncertainty and internal polarization.</w:t>
      </w:r>
    </w:p>
    <w:p w14:paraId="0000001E" w14:textId="41577899" w:rsidR="003D6E6D" w:rsidRDefault="003D6E6D">
      <w:pPr>
        <w:jc w:val="both"/>
        <w:rPr>
          <w:rFonts w:ascii="Times New Roman" w:eastAsia="Times New Roman" w:hAnsi="Times New Roman" w:cs="Times New Roman"/>
          <w:sz w:val="24"/>
          <w:szCs w:val="24"/>
        </w:rPr>
      </w:pPr>
    </w:p>
    <w:p w14:paraId="7F5B2947" w14:textId="77777777" w:rsidR="004772CC" w:rsidRDefault="004772CC">
      <w:pPr>
        <w:jc w:val="both"/>
        <w:rPr>
          <w:rFonts w:ascii="Times New Roman" w:eastAsia="Times New Roman" w:hAnsi="Times New Roman" w:cs="Times New Roman"/>
          <w:sz w:val="24"/>
          <w:szCs w:val="24"/>
        </w:rPr>
      </w:pPr>
    </w:p>
    <w:p w14:paraId="08036085" w14:textId="77777777" w:rsidR="004772CC" w:rsidRPr="004772CC" w:rsidRDefault="004772CC" w:rsidP="004772CC">
      <w:pPr>
        <w:jc w:val="both"/>
        <w:rPr>
          <w:rFonts w:ascii="Times New Roman" w:eastAsia="Times New Roman" w:hAnsi="Times New Roman" w:cs="Times New Roman"/>
          <w:b/>
          <w:bCs/>
          <w:sz w:val="28"/>
          <w:szCs w:val="28"/>
        </w:rPr>
      </w:pPr>
      <w:r w:rsidRPr="004772CC">
        <w:rPr>
          <w:rFonts w:ascii="Times New Roman" w:eastAsia="Times New Roman" w:hAnsi="Times New Roman" w:cs="Times New Roman"/>
          <w:b/>
          <w:bCs/>
          <w:sz w:val="28"/>
          <w:szCs w:val="28"/>
        </w:rPr>
        <w:t>Political Transformation after Defeat: Domestic Reform and Strategic Realignment</w:t>
      </w:r>
    </w:p>
    <w:p w14:paraId="049A94FA" w14:textId="77777777" w:rsidR="004772CC" w:rsidRPr="004772CC" w:rsidRDefault="004772CC" w:rsidP="004772CC">
      <w:pPr>
        <w:jc w:val="both"/>
        <w:rPr>
          <w:rFonts w:ascii="Times New Roman" w:eastAsia="Times New Roman" w:hAnsi="Times New Roman" w:cs="Times New Roman"/>
          <w:sz w:val="24"/>
          <w:szCs w:val="24"/>
        </w:rPr>
      </w:pPr>
      <w:r w:rsidRPr="004772CC">
        <w:rPr>
          <w:rFonts w:ascii="Times New Roman" w:eastAsia="Times New Roman" w:hAnsi="Times New Roman" w:cs="Times New Roman"/>
          <w:sz w:val="24"/>
          <w:szCs w:val="24"/>
        </w:rPr>
        <w:t>Following the 2020 military defeat and the definitive loss of control over Nagorno-Karabakh in 2023, Armenia experienced not only a territorial and geopolitical redefinition, but also a profound internal restructuring. Contrary to widespread expectations that such a national trauma would trigger authoritarian regression or the return of militarized elites, the post-war period has, instead, seen a fragile yet notable consolidation of democratic practices. Electoral integrity was preserved in the 2021 snap elections, civil society regained a degree of influence, and public discourse became increasingly centered on accountability rather than territorial irredentism (Freedom House 2023; Ishkanian 2021).</w:t>
      </w:r>
    </w:p>
    <w:p w14:paraId="18D63846" w14:textId="0515512C" w:rsidR="004772CC" w:rsidRPr="004772CC" w:rsidRDefault="004772CC" w:rsidP="004772CC">
      <w:pPr>
        <w:jc w:val="both"/>
        <w:rPr>
          <w:rFonts w:ascii="Times New Roman" w:eastAsia="Times New Roman" w:hAnsi="Times New Roman" w:cs="Times New Roman"/>
          <w:sz w:val="24"/>
          <w:szCs w:val="24"/>
        </w:rPr>
      </w:pPr>
      <w:r w:rsidRPr="004772CC">
        <w:rPr>
          <w:rFonts w:ascii="Times New Roman" w:eastAsia="Times New Roman" w:hAnsi="Times New Roman" w:cs="Times New Roman"/>
          <w:sz w:val="24"/>
          <w:szCs w:val="24"/>
        </w:rPr>
        <w:t xml:space="preserve">From the perspective of the Territorial Peace Theory (TPT), this evolution is not coincidental. The closure of the “Karabakh question,” however </w:t>
      </w:r>
      <w:r w:rsidR="00B415D3">
        <w:rPr>
          <w:rFonts w:ascii="Times New Roman" w:eastAsia="Times New Roman" w:hAnsi="Times New Roman" w:cs="Times New Roman"/>
          <w:sz w:val="24"/>
          <w:szCs w:val="24"/>
        </w:rPr>
        <w:t xml:space="preserve">extremely </w:t>
      </w:r>
      <w:r w:rsidRPr="004772CC">
        <w:rPr>
          <w:rFonts w:ascii="Times New Roman" w:eastAsia="Times New Roman" w:hAnsi="Times New Roman" w:cs="Times New Roman"/>
          <w:sz w:val="24"/>
          <w:szCs w:val="24"/>
        </w:rPr>
        <w:t xml:space="preserve">painful, effectively removed the central territorial dispute that had long sustained militarized nationalism and elite securitization. The “Karabakh </w:t>
      </w:r>
      <w:r w:rsidR="00D555CF">
        <w:rPr>
          <w:rFonts w:ascii="Times New Roman" w:eastAsia="Times New Roman" w:hAnsi="Times New Roman" w:cs="Times New Roman"/>
          <w:sz w:val="24"/>
          <w:szCs w:val="24"/>
        </w:rPr>
        <w:t>elite and leadership</w:t>
      </w:r>
      <w:r w:rsidRPr="004772CC">
        <w:rPr>
          <w:rFonts w:ascii="Times New Roman" w:eastAsia="Times New Roman" w:hAnsi="Times New Roman" w:cs="Times New Roman"/>
          <w:sz w:val="24"/>
          <w:szCs w:val="24"/>
        </w:rPr>
        <w:t>”, whose legitimacy and power derived from their wartime credentials and association with the defense of Artsakh, lost both symbolic capital and institutional foothold (Broers 2019; Iskandaryan 2013). Pashinyan’s continued political dominance—despite presiding over a historic defeat—can be interpreted as a public mandate for civilian-led reform and a break from securitized governance.</w:t>
      </w:r>
    </w:p>
    <w:p w14:paraId="546850E4" w14:textId="77777777" w:rsidR="004772CC" w:rsidRPr="004772CC" w:rsidRDefault="004772CC" w:rsidP="004772CC">
      <w:pPr>
        <w:jc w:val="both"/>
        <w:rPr>
          <w:rFonts w:ascii="Times New Roman" w:eastAsia="Times New Roman" w:hAnsi="Times New Roman" w:cs="Times New Roman"/>
          <w:sz w:val="24"/>
          <w:szCs w:val="24"/>
        </w:rPr>
      </w:pPr>
      <w:r w:rsidRPr="004772CC">
        <w:rPr>
          <w:rFonts w:ascii="Times New Roman" w:eastAsia="Times New Roman" w:hAnsi="Times New Roman" w:cs="Times New Roman"/>
          <w:sz w:val="24"/>
          <w:szCs w:val="24"/>
        </w:rPr>
        <w:t>What followed was an attempt, albeit inconsistent, to reconstruct state legitimacy through institutional reform rather than nationalist rhetoric. Parliamentary procedures were revitalized, transparency and anti-corruption initiatives gained prominence, and judicial reforms began to decouple the legal system from executive control (Transparency International 2022). While oligarchic structures and informal networks persist, there has been a visible retreat of military figures from top civilian roles—a key indicator of demilitarization in governance (Levitsky &amp; Way 2010).</w:t>
      </w:r>
    </w:p>
    <w:p w14:paraId="6F98AC7B" w14:textId="77777777" w:rsidR="004772CC" w:rsidRPr="004772CC" w:rsidRDefault="004772CC" w:rsidP="004772CC">
      <w:pPr>
        <w:jc w:val="both"/>
        <w:rPr>
          <w:rFonts w:ascii="Times New Roman" w:eastAsia="Times New Roman" w:hAnsi="Times New Roman" w:cs="Times New Roman"/>
          <w:sz w:val="24"/>
          <w:szCs w:val="24"/>
        </w:rPr>
      </w:pPr>
      <w:r w:rsidRPr="004772CC">
        <w:rPr>
          <w:rFonts w:ascii="Times New Roman" w:eastAsia="Times New Roman" w:hAnsi="Times New Roman" w:cs="Times New Roman"/>
          <w:sz w:val="24"/>
          <w:szCs w:val="24"/>
        </w:rPr>
        <w:t>Moreover, the post-war shift was not limited to the domestic arena. Armenia’s foreign policy orientation underwent a significant transformation, reflecting both strategic necessity and ideological recalibration. Russia—historically perceived as Armenia’s security patron—faced mounting criticism in public discourse and political circles alike, particularly due to its passivity during the 2020 and 2023 Azerbaijani offensives. The erosion of trust in the CSTO (Collective Security Treaty Organization) was emblematic of a broader strategic disillusionment.</w:t>
      </w:r>
    </w:p>
    <w:p w14:paraId="457EC99D" w14:textId="77777777" w:rsidR="004772CC" w:rsidRDefault="004772CC" w:rsidP="004772CC">
      <w:pPr>
        <w:jc w:val="both"/>
        <w:rPr>
          <w:rFonts w:ascii="Times New Roman" w:eastAsia="Times New Roman" w:hAnsi="Times New Roman" w:cs="Times New Roman"/>
          <w:sz w:val="24"/>
          <w:szCs w:val="24"/>
        </w:rPr>
      </w:pPr>
      <w:r w:rsidRPr="004772CC">
        <w:rPr>
          <w:rFonts w:ascii="Times New Roman" w:eastAsia="Times New Roman" w:hAnsi="Times New Roman" w:cs="Times New Roman"/>
          <w:sz w:val="24"/>
          <w:szCs w:val="24"/>
        </w:rPr>
        <w:t xml:space="preserve">In response, the Pashinyan government began seeking closer engagement with the European Union, the United States, and regional partners like India and Iran. These efforts were not merely opportunistic but aligned with the logic of Territorial Peace: with the collapse of the Karabakh front, Armenia ceased to define its international identity in terms of military confrontation and began articulating a more civilian, law-based conception of sovereignty. The application to join the International Criminal Court, intensified cooperation with NATO under the Partnership for Peace, </w:t>
      </w:r>
      <w:r w:rsidRPr="004772CC">
        <w:rPr>
          <w:rFonts w:ascii="Times New Roman" w:eastAsia="Times New Roman" w:hAnsi="Times New Roman" w:cs="Times New Roman"/>
          <w:sz w:val="24"/>
          <w:szCs w:val="24"/>
        </w:rPr>
        <w:lastRenderedPageBreak/>
        <w:t>and Armenia’s increasingly vocal participation in EU-led dialogues signal a shift toward legal-institutional security frameworks rather than traditional deterrence (Delcour &amp; Wolczuk 2015; European External Action Service 2023).</w:t>
      </w:r>
    </w:p>
    <w:p w14:paraId="6E62EF8E" w14:textId="5AC38FF9" w:rsidR="004772CC" w:rsidRPr="004772CC" w:rsidRDefault="004772CC" w:rsidP="004772CC">
      <w:pPr>
        <w:jc w:val="both"/>
        <w:rPr>
          <w:rFonts w:ascii="Times New Roman" w:eastAsia="Times New Roman" w:hAnsi="Times New Roman" w:cs="Times New Roman"/>
          <w:sz w:val="24"/>
          <w:szCs w:val="24"/>
        </w:rPr>
      </w:pPr>
      <w:r w:rsidRPr="004772CC">
        <w:rPr>
          <w:rFonts w:ascii="Times New Roman" w:eastAsia="Times New Roman" w:hAnsi="Times New Roman" w:cs="Times New Roman"/>
          <w:sz w:val="24"/>
          <w:szCs w:val="24"/>
        </w:rPr>
        <w:t>Nonetheless, Armenia’s foreign policy shift should not be interpreted as a complete strategic realignment. Despite the erosion of public and political trust in Moscow, Russia remains a critical actor in Armenia’s security architecture and economic landscape. The continued presence of Russian border guards and peacekeepers (at least until 2023), deep energy and trade ties, and Armenia’s formal membership in the Eurasian Economic Union (EAEU) and the Collective Security Treaty Organization (CSTO) reflect a degree of structural interdependence. Moreover, Prime Minister Pashinyan’s multiple visits to Russia during and after the 2020 and 2023 conflicts—albeit often marked by diplomatic tension—signal that Yerevan has not fully severed its alliance with Moscow, but rather adopted a more flexible, multi-vector approach. This pragmatic balancing strategy underscores the constraints faced by small states seeking to recalibrate foreign policy under geopolitical pressure (Cornell 2021; Delcour 2022).</w:t>
      </w:r>
    </w:p>
    <w:p w14:paraId="00C3E679" w14:textId="77777777" w:rsidR="004772CC" w:rsidRPr="004772CC" w:rsidRDefault="004772CC" w:rsidP="004772CC">
      <w:pPr>
        <w:jc w:val="both"/>
        <w:rPr>
          <w:rFonts w:ascii="Times New Roman" w:eastAsia="Times New Roman" w:hAnsi="Times New Roman" w:cs="Times New Roman"/>
          <w:sz w:val="24"/>
          <w:szCs w:val="24"/>
        </w:rPr>
      </w:pPr>
      <w:r w:rsidRPr="004772CC">
        <w:rPr>
          <w:rFonts w:ascii="Times New Roman" w:eastAsia="Times New Roman" w:hAnsi="Times New Roman" w:cs="Times New Roman"/>
          <w:sz w:val="24"/>
          <w:szCs w:val="24"/>
        </w:rPr>
        <w:t>While some analysts see this as a form of bandwagoning, it may instead reflect a broader normative reorientation—an attempt to anchor Armenia’s post-defeat identity in liberal internationalism. This is consistent with TPT’s assumption that peaceful borders enable engagement with rule-based orders, which in turn support domestic liberalization and resilience (Gibler 2012; Tir and Jasinski 2008).</w:t>
      </w:r>
    </w:p>
    <w:p w14:paraId="5BE01E44" w14:textId="56BB0E8C" w:rsidR="004772CC" w:rsidRDefault="004772CC" w:rsidP="004772CC">
      <w:pPr>
        <w:jc w:val="both"/>
        <w:rPr>
          <w:rFonts w:ascii="Times New Roman" w:eastAsia="Times New Roman" w:hAnsi="Times New Roman" w:cs="Times New Roman"/>
          <w:sz w:val="24"/>
          <w:szCs w:val="24"/>
        </w:rPr>
      </w:pPr>
      <w:r w:rsidRPr="004772CC">
        <w:rPr>
          <w:rFonts w:ascii="Times New Roman" w:eastAsia="Times New Roman" w:hAnsi="Times New Roman" w:cs="Times New Roman"/>
          <w:sz w:val="24"/>
          <w:szCs w:val="24"/>
        </w:rPr>
        <w:t xml:space="preserve">Yet, the process remains fragile. Pockets of political polarization persist, nationalist actors continue to mobilize around narratives of betrayal and territorial loss, and the absence of hard security guarantees from the West limits the credibility of Armenia’s new direction. </w:t>
      </w:r>
      <w:r w:rsidR="000C6D6F">
        <w:rPr>
          <w:rFonts w:ascii="Times New Roman" w:eastAsia="Times New Roman" w:hAnsi="Times New Roman" w:cs="Times New Roman"/>
          <w:sz w:val="24"/>
          <w:szCs w:val="24"/>
        </w:rPr>
        <w:t xml:space="preserve">Again, </w:t>
      </w:r>
      <w:r w:rsidRPr="004772CC">
        <w:rPr>
          <w:rFonts w:ascii="Times New Roman" w:eastAsia="Times New Roman" w:hAnsi="Times New Roman" w:cs="Times New Roman"/>
          <w:sz w:val="24"/>
          <w:szCs w:val="24"/>
        </w:rPr>
        <w:t>The 2022 Tavush protests, led by nationalist and clerical factions, highlighted how unresolved trauma and socio-economic frustration could still be leveraged to challenge democratic reforms (Abrahamyan 2022).</w:t>
      </w:r>
    </w:p>
    <w:p w14:paraId="1E41FB34" w14:textId="5546610B" w:rsidR="00633E35" w:rsidRPr="00633E35" w:rsidRDefault="000C6D6F" w:rsidP="00633E35">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However, surely, s</w:t>
      </w:r>
      <w:r w:rsidR="00633E35" w:rsidRPr="00633E35">
        <w:rPr>
          <w:rFonts w:ascii="Times New Roman" w:eastAsia="Times New Roman" w:hAnsi="Times New Roman" w:cs="Times New Roman"/>
          <w:sz w:val="24"/>
          <w:szCs w:val="24"/>
        </w:rPr>
        <w:t>everal developments since 2020 lend support to the hypothesis that Armenia is undergoing a positive transformation in line with the Territorial Peace Theory. Domestically, the 2021 snap parliamentary elections—held less than a year after the crushing defeat in Nagorno-Karabakh—were widely recognized as free and competitive by international observers, including the OSCE/ODIHR mission. Prime Minister Pashinyan’s Civic Contract party won a clear majority, not through nationalist appeals, but by emphasizing institutional stability and anti-corruption reform, reflecting a shift in political legitimacy away from militarized nationalism.</w:t>
      </w:r>
    </w:p>
    <w:p w14:paraId="6F821672" w14:textId="60638151" w:rsidR="00166FF2" w:rsidRPr="00633E35" w:rsidRDefault="00633E35" w:rsidP="00633E35">
      <w:pPr>
        <w:jc w:val="both"/>
        <w:rPr>
          <w:rFonts w:ascii="Times New Roman" w:eastAsia="Times New Roman" w:hAnsi="Times New Roman" w:cs="Times New Roman"/>
          <w:sz w:val="24"/>
          <w:szCs w:val="24"/>
        </w:rPr>
      </w:pPr>
      <w:r w:rsidRPr="00633E35">
        <w:rPr>
          <w:rFonts w:ascii="Times New Roman" w:eastAsia="Times New Roman" w:hAnsi="Times New Roman" w:cs="Times New Roman"/>
          <w:sz w:val="24"/>
          <w:szCs w:val="24"/>
        </w:rPr>
        <w:t>In 2022, the government adopted a judicial reform roadmap in collaboration with the EU and Council of Europe, which included the restructuring of the Supreme Judicial Council and vetting procedures for judges. These steps were praised by the European Commission as examples of “tangible progress in consolidating the rule of law” (EEAS 2023). The same year, Armenia ratified a new anti-corruption strategy and launched the “Unified Anti-Corruption Electronic Platform” for public transparency, further signaling institutional innovation.</w:t>
      </w:r>
      <w:r w:rsidR="000C6D6F">
        <w:rPr>
          <w:rFonts w:ascii="Times New Roman" w:eastAsia="Times New Roman" w:hAnsi="Times New Roman" w:cs="Times New Roman"/>
          <w:sz w:val="24"/>
          <w:szCs w:val="24"/>
        </w:rPr>
        <w:t xml:space="preserve"> </w:t>
      </w:r>
      <w:r w:rsidR="00166FF2" w:rsidRPr="00166FF2">
        <w:rPr>
          <w:rFonts w:ascii="Times New Roman" w:eastAsia="Times New Roman" w:hAnsi="Times New Roman" w:cs="Times New Roman"/>
          <w:sz w:val="24"/>
          <w:szCs w:val="24"/>
        </w:rPr>
        <w:t xml:space="preserve">In terms of socio-economic growth, Armenia is also witnessing important results in line with this discourse. </w:t>
      </w:r>
      <w:r w:rsidR="00166FF2">
        <w:rPr>
          <w:rFonts w:ascii="Times New Roman" w:eastAsia="Times New Roman" w:hAnsi="Times New Roman" w:cs="Times New Roman"/>
          <w:sz w:val="24"/>
          <w:szCs w:val="24"/>
        </w:rPr>
        <w:t>Armenia’s press freedom and internet freedom ratings are quite high. The press freedom index rose six levels from 2023 to 2024 (from 48th position to 43rd)</w:t>
      </w:r>
      <w:r w:rsidR="00166FF2">
        <w:t xml:space="preserve">, </w:t>
      </w:r>
      <w:r w:rsidR="00166FF2">
        <w:rPr>
          <w:rFonts w:ascii="Times New Roman" w:eastAsia="Times New Roman" w:hAnsi="Times New Roman" w:cs="Times New Roman"/>
          <w:sz w:val="24"/>
          <w:szCs w:val="24"/>
        </w:rPr>
        <w:t>while internet freedom rose from 74th position last year to 72nd position now.</w:t>
      </w:r>
    </w:p>
    <w:p w14:paraId="72BD75EF" w14:textId="10F1ADA1" w:rsidR="00633E35" w:rsidRPr="00633E35" w:rsidRDefault="00633E35" w:rsidP="00633E35">
      <w:pPr>
        <w:jc w:val="both"/>
        <w:rPr>
          <w:rFonts w:ascii="Times New Roman" w:eastAsia="Times New Roman" w:hAnsi="Times New Roman" w:cs="Times New Roman"/>
          <w:sz w:val="24"/>
          <w:szCs w:val="24"/>
        </w:rPr>
      </w:pPr>
      <w:r w:rsidRPr="00633E35">
        <w:rPr>
          <w:rFonts w:ascii="Times New Roman" w:eastAsia="Times New Roman" w:hAnsi="Times New Roman" w:cs="Times New Roman"/>
          <w:sz w:val="24"/>
          <w:szCs w:val="24"/>
        </w:rPr>
        <w:t>On the foreign policy front, Armenia’s application to the International Criminal Court (formalized in 2023) was a landmark move, aligning the country with global legal norms despite Russian disapproval. In 2024, Yerevan hosted the first Armenia-EU Political and Security Dialogue, a mechanism designed to deepen strategic cooperation, further integrating Armenia into European frameworks.</w:t>
      </w:r>
      <w:r w:rsidR="000C6D6F">
        <w:rPr>
          <w:rFonts w:ascii="Times New Roman" w:eastAsia="Times New Roman" w:hAnsi="Times New Roman" w:cs="Times New Roman"/>
          <w:sz w:val="24"/>
          <w:szCs w:val="24"/>
        </w:rPr>
        <w:t xml:space="preserve"> </w:t>
      </w:r>
      <w:r w:rsidRPr="00633E35">
        <w:rPr>
          <w:rFonts w:ascii="Times New Roman" w:eastAsia="Times New Roman" w:hAnsi="Times New Roman" w:cs="Times New Roman"/>
          <w:sz w:val="24"/>
          <w:szCs w:val="24"/>
        </w:rPr>
        <w:t xml:space="preserve">Perhaps most strikingly, Prime Minister Pashinyan has repeatedly emphasized the </w:t>
      </w:r>
      <w:r w:rsidRPr="00633E35">
        <w:rPr>
          <w:rFonts w:ascii="Times New Roman" w:eastAsia="Times New Roman" w:hAnsi="Times New Roman" w:cs="Times New Roman"/>
          <w:sz w:val="24"/>
          <w:szCs w:val="24"/>
        </w:rPr>
        <w:lastRenderedPageBreak/>
        <w:t>importance of a “peace agenda” in public speeches, including his 2023 address to parliament where he stated:</w:t>
      </w:r>
      <w:r w:rsidR="00166FF2">
        <w:rPr>
          <w:rFonts w:ascii="Times New Roman" w:eastAsia="Times New Roman" w:hAnsi="Times New Roman" w:cs="Times New Roman"/>
          <w:sz w:val="24"/>
          <w:szCs w:val="24"/>
        </w:rPr>
        <w:t xml:space="preserve"> </w:t>
      </w:r>
      <w:r w:rsidRPr="00633E35">
        <w:rPr>
          <w:rFonts w:ascii="Times New Roman" w:eastAsia="Times New Roman" w:hAnsi="Times New Roman" w:cs="Times New Roman"/>
          <w:sz w:val="24"/>
          <w:szCs w:val="24"/>
        </w:rPr>
        <w:t>“We must finally reject the paradigm of permanent war. Security for Armenia will come not from territory, but from diplomacy, economic strength, and democratic legitimacy.”</w:t>
      </w:r>
      <w:r w:rsidR="00E2383A">
        <w:rPr>
          <w:rStyle w:val="Rimandonotaapidipagina"/>
          <w:rFonts w:ascii="Times New Roman" w:eastAsia="Times New Roman" w:hAnsi="Times New Roman" w:cs="Times New Roman"/>
          <w:sz w:val="24"/>
          <w:szCs w:val="24"/>
        </w:rPr>
        <w:footnoteReference w:id="6"/>
      </w:r>
    </w:p>
    <w:p w14:paraId="57497697" w14:textId="2952A8FD" w:rsidR="004772CC" w:rsidRDefault="00633E35" w:rsidP="004772CC">
      <w:pPr>
        <w:jc w:val="both"/>
        <w:rPr>
          <w:rFonts w:ascii="Times New Roman" w:eastAsia="Times New Roman" w:hAnsi="Times New Roman" w:cs="Times New Roman"/>
          <w:sz w:val="24"/>
          <w:szCs w:val="24"/>
        </w:rPr>
      </w:pPr>
      <w:r w:rsidRPr="00633E35">
        <w:rPr>
          <w:rFonts w:ascii="Times New Roman" w:eastAsia="Times New Roman" w:hAnsi="Times New Roman" w:cs="Times New Roman"/>
          <w:sz w:val="24"/>
          <w:szCs w:val="24"/>
        </w:rPr>
        <w:t>This rhetorical shift—echoed by key ministers and reflected in government policy—indicates a normative transformation in Armenia’s conception of statehood and sovereignty, in line with TPT expectations.</w:t>
      </w:r>
      <w:r w:rsidR="000C6D6F">
        <w:rPr>
          <w:rFonts w:ascii="Times New Roman" w:eastAsia="Times New Roman" w:hAnsi="Times New Roman" w:cs="Times New Roman"/>
          <w:sz w:val="24"/>
          <w:szCs w:val="24"/>
        </w:rPr>
        <w:t xml:space="preserve"> </w:t>
      </w:r>
      <w:r w:rsidRPr="00633E35">
        <w:rPr>
          <w:rFonts w:ascii="Times New Roman" w:eastAsia="Times New Roman" w:hAnsi="Times New Roman" w:cs="Times New Roman"/>
          <w:sz w:val="24"/>
          <w:szCs w:val="24"/>
        </w:rPr>
        <w:t>While significant risks remain, these developments collectively suggest that Armenia is tentatively succeeding in transforming territorial defeat into democratic opportunity, making it a rare and instructive case for scholars and policymakers alike.</w:t>
      </w:r>
      <w:r w:rsidR="000C6D6F">
        <w:rPr>
          <w:rFonts w:ascii="Times New Roman" w:eastAsia="Times New Roman" w:hAnsi="Times New Roman" w:cs="Times New Roman"/>
          <w:sz w:val="24"/>
          <w:szCs w:val="24"/>
        </w:rPr>
        <w:t xml:space="preserve"> </w:t>
      </w:r>
      <w:r w:rsidR="004772CC" w:rsidRPr="004772CC">
        <w:rPr>
          <w:rFonts w:ascii="Times New Roman" w:eastAsia="Times New Roman" w:hAnsi="Times New Roman" w:cs="Times New Roman"/>
          <w:sz w:val="24"/>
          <w:szCs w:val="24"/>
        </w:rPr>
        <w:t>Ultimately, Armenia’s case demonstrates how territorial loss—rather than only victory—can trigger a reconfiguration of political legitimacy. The post-2020 period has allowed the state to partially escape the narrative trap of permanent mobilization. Whether this transformation will solidify into a lasting democratic order depends on institutional depth, societal resilience, and the capacity of international partners to support Armenia’s transition beyond symbolism.</w:t>
      </w:r>
    </w:p>
    <w:p w14:paraId="0000001F" w14:textId="77777777" w:rsidR="003D6E6D" w:rsidRDefault="003D6E6D">
      <w:pPr>
        <w:jc w:val="both"/>
        <w:rPr>
          <w:rFonts w:ascii="Times New Roman" w:eastAsia="Times New Roman" w:hAnsi="Times New Roman" w:cs="Times New Roman"/>
          <w:sz w:val="24"/>
          <w:szCs w:val="24"/>
        </w:rPr>
      </w:pPr>
    </w:p>
    <w:p w14:paraId="00000020" w14:textId="77777777" w:rsidR="003D6E6D" w:rsidRDefault="003D6E6D">
      <w:pPr>
        <w:jc w:val="both"/>
        <w:rPr>
          <w:rFonts w:ascii="Times New Roman" w:eastAsia="Times New Roman" w:hAnsi="Times New Roman" w:cs="Times New Roman"/>
          <w:b/>
          <w:sz w:val="28"/>
          <w:szCs w:val="28"/>
        </w:rPr>
      </w:pPr>
    </w:p>
    <w:p w14:paraId="6AD38866" w14:textId="77777777" w:rsidR="00633E35" w:rsidRDefault="00633E35">
      <w:pPr>
        <w:jc w:val="both"/>
        <w:rPr>
          <w:rFonts w:ascii="Times New Roman" w:eastAsia="Times New Roman" w:hAnsi="Times New Roman" w:cs="Times New Roman"/>
          <w:b/>
          <w:sz w:val="28"/>
          <w:szCs w:val="28"/>
        </w:rPr>
      </w:pPr>
      <w:bookmarkStart w:id="1" w:name="_heading=h.yfw5czz37guo" w:colFirst="0" w:colLast="0"/>
      <w:bookmarkEnd w:id="1"/>
    </w:p>
    <w:p w14:paraId="0000002B" w14:textId="38A33A62" w:rsidR="003D6E6D" w:rsidRDefault="00E2383A">
      <w:pPr>
        <w:jc w:val="both"/>
        <w:rPr>
          <w:rFonts w:ascii="Times New Roman" w:eastAsia="Times New Roman" w:hAnsi="Times New Roman" w:cs="Times New Roman"/>
          <w:b/>
          <w:sz w:val="28"/>
          <w:szCs w:val="28"/>
        </w:rPr>
      </w:pPr>
      <w:r w:rsidRPr="00E2383A">
        <w:rPr>
          <w:rFonts w:ascii="Times New Roman" w:eastAsia="Times New Roman" w:hAnsi="Times New Roman" w:cs="Times New Roman"/>
          <w:b/>
          <w:sz w:val="28"/>
          <w:szCs w:val="28"/>
        </w:rPr>
        <w:t>The EU’s Role in Armenia’s Democratic Transition and Regional Reorientation</w:t>
      </w:r>
    </w:p>
    <w:p w14:paraId="65CBDBD6" w14:textId="683B7350" w:rsidR="00B913C2" w:rsidRDefault="00B913C2" w:rsidP="008D29A1">
      <w:pPr>
        <w:pStyle w:val="NormaleWeb"/>
        <w:jc w:val="both"/>
      </w:pPr>
      <w:r>
        <w:t>Over the past several years, the European Union has progressively increased its presence and engagement in the South Caucasus. Numerous programs and projects have been implemented to promote the rule of law, strengthen democratic institutions, and enhance ties with the region’s societies. Most of these initiatives fall under the umbrella of the European Neighbourhood Policy (ENP), and in recent years, particular attention has been directed toward Armenia.</w:t>
      </w:r>
    </w:p>
    <w:p w14:paraId="58BD8405" w14:textId="77777777" w:rsidR="00B913C2" w:rsidRDefault="00B913C2" w:rsidP="008D29A1">
      <w:pPr>
        <w:pStyle w:val="NormaleWeb"/>
        <w:jc w:val="both"/>
      </w:pPr>
      <w:r>
        <w:t>Some scholars argue that Georgia’s gradual disengagement from the EU agenda, combined with the expected resolution of the Nagorno-Karabakh conflict and Armenia’s growing willingness to pursue peaceful normalization, have made Yerevan an increasingly attractive partner for the EU. Official documents and academic literature highlight how key policy ideas—such as the promotion of democracy, the rule of law, and legal harmonization—have shaped the design and tools of EU engagement with Armenia despite significant contextual challenges (Tulmets 2005; Del Sarto &amp; Schumacher 2005; Kelley 2006). These mechanisms have become relevant variables in understanding Armenia’s post-war democratization trajectory.</w:t>
      </w:r>
    </w:p>
    <w:p w14:paraId="21F5BCAA" w14:textId="77777777" w:rsidR="00FB6730" w:rsidRDefault="00B913C2" w:rsidP="0021786D">
      <w:pPr>
        <w:pStyle w:val="NormaleWeb"/>
        <w:jc w:val="both"/>
      </w:pPr>
      <w:r>
        <w:t xml:space="preserve">One major reference point is the </w:t>
      </w:r>
      <w:r w:rsidRPr="008D29A1">
        <w:rPr>
          <w:rStyle w:val="Enfasigrassetto"/>
          <w:rFonts w:eastAsiaTheme="majorEastAsia"/>
          <w:b w:val="0"/>
          <w:bCs w:val="0"/>
        </w:rPr>
        <w:t>Comprehensive and Enhanced Partnership Agreement (CEPA)</w:t>
      </w:r>
      <w:r>
        <w:t xml:space="preserve">, signed in 2017 and entering into force in 2021, along with the </w:t>
      </w:r>
      <w:r w:rsidRPr="008D29A1">
        <w:rPr>
          <w:rStyle w:val="Enfasigrassetto"/>
          <w:rFonts w:eastAsiaTheme="majorEastAsia"/>
          <w:b w:val="0"/>
          <w:bCs w:val="0"/>
        </w:rPr>
        <w:t>Joint Communication on the Eastern Partnership policy beyond 2020</w:t>
      </w:r>
      <w:r>
        <w:t xml:space="preserve"> and the </w:t>
      </w:r>
      <w:r w:rsidRPr="008D29A1">
        <w:rPr>
          <w:rStyle w:val="Enfasigrassetto"/>
          <w:rFonts w:eastAsiaTheme="majorEastAsia"/>
          <w:b w:val="0"/>
          <w:bCs w:val="0"/>
        </w:rPr>
        <w:t>“Recovery, Resilience and Reform” Staff Working Document</w:t>
      </w:r>
      <w:r>
        <w:t>. These documents outline a new legal and political framework for EU–Armenia relations, linking socio-economic development, EU integration, and post-conflict democratization.</w:t>
      </w:r>
      <w:r w:rsidR="00B76D3E">
        <w:t xml:space="preserve"> </w:t>
      </w:r>
      <w:r>
        <w:t>Since the Velvet Revolution</w:t>
      </w:r>
      <w:r w:rsidR="00FB6730">
        <w:t xml:space="preserve"> and these agreements with the EU</w:t>
      </w:r>
      <w:r>
        <w:t xml:space="preserve">, Armenia’s economic indicators have significantly improved, despite challenges from the 2020 war and the COVID-19 pandemic. Between 2018 and 2024, Armenia’s GDP per capita more than doubled—from USD 4,042 to USD 8,715. The Armenian dram has appreciated by 25% against the US dollar since the revolution. Even with a slowdown in 2024 (5.9% growth compared to 8.3% the previous year), Armenia has marked two </w:t>
      </w:r>
      <w:r>
        <w:lastRenderedPageBreak/>
        <w:t xml:space="preserve">consecutive years as the fastest growing economy in the region. Sectors such as manufacturing, trade, and financial services have expanded by double digits year-on-year </w:t>
      </w:r>
      <w:r w:rsidRPr="008D29A1">
        <w:rPr>
          <w:rStyle w:val="Enfasigrassetto"/>
          <w:rFonts w:eastAsiaTheme="majorEastAsia"/>
          <w:b w:val="0"/>
          <w:bCs w:val="0"/>
        </w:rPr>
        <w:t>(World Bank 2024; EDB 2023)</w:t>
      </w:r>
      <w:r>
        <w:t>.</w:t>
      </w:r>
      <w:r w:rsidR="00B76D3E">
        <w:t xml:space="preserve"> </w:t>
      </w:r>
    </w:p>
    <w:p w14:paraId="4E9F9051" w14:textId="36742D2C" w:rsidR="0016410D" w:rsidRDefault="00B913C2" w:rsidP="0021786D">
      <w:pPr>
        <w:pStyle w:val="NormaleWeb"/>
        <w:jc w:val="both"/>
      </w:pPr>
      <w:r>
        <w:t>These developments are linked, in part, to EU support.</w:t>
      </w:r>
      <w:r w:rsidR="00B76D3E">
        <w:t xml:space="preserve"> </w:t>
      </w:r>
      <w:r>
        <w:t xml:space="preserve">Since 2018, the EU has become Armenia’s largest donor, particularly supporting reforms after the revolution. Between 2017 and 2020, €211 million were allocated—most of it post-2018. EU per capita assistance doubled in 2019–2020 compared to 2017. CEPA created three core institutions to guide bilateral cooperation: the EU–Armenia Partnership Council, the Parliamentary Partnership Committee, and the Civil Society Platform </w:t>
      </w:r>
      <w:r w:rsidRPr="008D29A1">
        <w:rPr>
          <w:rStyle w:val="Enfasigrassetto"/>
          <w:rFonts w:eastAsiaTheme="majorEastAsia"/>
          <w:b w:val="0"/>
          <w:bCs w:val="0"/>
        </w:rPr>
        <w:t>(EU Neighbourhood &amp; Enlargement 2021; Delcour &amp; Ghazaryan 2024)</w:t>
      </w:r>
      <w:r>
        <w:t>.</w:t>
      </w:r>
      <w:r w:rsidR="00B551E1">
        <w:t xml:space="preserve"> </w:t>
      </w:r>
      <w:r w:rsidR="0016410D">
        <w:t xml:space="preserve">Following the 2020 war and the 2023 attack on Nagorno-Karabakh, the EU’s engagement intensified. Political reforms, especially around governance, the judiciary, and public accountability, were prioritized in the 2021–2027 aid cycle. EU funding has also supported the Ministry of Internal Affairs and police and migration reforms. Special emphasis has been placed on the </w:t>
      </w:r>
      <w:r w:rsidR="0016410D" w:rsidRPr="0016410D">
        <w:rPr>
          <w:rStyle w:val="Enfasigrassetto"/>
          <w:rFonts w:eastAsiaTheme="majorEastAsia"/>
          <w:b w:val="0"/>
          <w:bCs w:val="0"/>
        </w:rPr>
        <w:t>constitutional reform process</w:t>
      </w:r>
      <w:r w:rsidR="0016410D">
        <w:t xml:space="preserve"> and </w:t>
      </w:r>
      <w:r w:rsidR="0016410D" w:rsidRPr="0016410D">
        <w:rPr>
          <w:rStyle w:val="Enfasigrassetto"/>
          <w:rFonts w:eastAsiaTheme="majorEastAsia"/>
          <w:b w:val="0"/>
          <w:bCs w:val="0"/>
        </w:rPr>
        <w:t>human rights protection</w:t>
      </w:r>
      <w:r w:rsidR="0016410D">
        <w:t>, including through capacity-building for Armenia’s Human Rights Defender’s Office (Delcour &amp; Ghazaryan 2024).</w:t>
      </w:r>
    </w:p>
    <w:p w14:paraId="6672EB09" w14:textId="4250B08F" w:rsidR="0016410D" w:rsidRDefault="0016410D" w:rsidP="0021786D">
      <w:pPr>
        <w:pStyle w:val="NormaleWeb"/>
        <w:jc w:val="both"/>
      </w:pPr>
      <w:r>
        <w:t>Another cornerstone of EU support has been its focus on civil society. Since 2014, the EU has maintained systematic engagement through instruments like the EU Roadmap for Engagement with Civil Society (2021–2027), which aims to enhance the participation of civil society organizations (CSOs) in public life. The roadmap addresses post-COVID and post-war realities, providing tailored support to help CSOs navigate a rapidly shifting political environment.</w:t>
      </w:r>
      <w:r w:rsidR="00B551E1">
        <w:t xml:space="preserve"> </w:t>
      </w:r>
      <w:r>
        <w:t xml:space="preserve">The establishment of the </w:t>
      </w:r>
      <w:r w:rsidRPr="0016410D">
        <w:rPr>
          <w:rStyle w:val="Enfasigrassetto"/>
          <w:rFonts w:eastAsiaTheme="majorEastAsia"/>
          <w:b w:val="0"/>
          <w:bCs w:val="0"/>
        </w:rPr>
        <w:t>EU Mission in Armenia (EUMA)</w:t>
      </w:r>
      <w:r>
        <w:t xml:space="preserve"> in 2023—preceded by a short-term monitoring mission in 2022—symbolizes a new level of EU involvement. Although non-military, EUMA serves as a stabilizing presence and as a tool of conflict prevention and confidence-building. It represents a continuation of the EU’s commitment to peacebuilding through legal norms and institutional reinforcement rather than coercive force</w:t>
      </w:r>
      <w:r w:rsidR="00847966">
        <w:t>.</w:t>
      </w:r>
    </w:p>
    <w:p w14:paraId="0C7EB9A2" w14:textId="79AEC837" w:rsidR="007D2C6A" w:rsidRPr="007D2C6A" w:rsidRDefault="00847966" w:rsidP="007D2C6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Thus, t</w:t>
      </w:r>
      <w:r w:rsidR="007D2C6A" w:rsidRPr="007D2C6A">
        <w:rPr>
          <w:rFonts w:ascii="Times New Roman" w:eastAsia="Times New Roman" w:hAnsi="Times New Roman" w:cs="Times New Roman"/>
          <w:sz w:val="24"/>
          <w:szCs w:val="24"/>
        </w:rPr>
        <w:t>he evolution of Armenia's regional role following the 2020 and 2023 defeats requires rethinking its positioning not as a military actor but as a state attempting to re-legitimize itself through peaceful diplomacy, institutional resilience, and international integration. Within this new framework, the European Union has gradually acquired a more visible, though still limited, role in Armenia’s external reorientation.</w:t>
      </w:r>
      <w:r>
        <w:rPr>
          <w:rFonts w:ascii="Times New Roman" w:eastAsia="Times New Roman" w:hAnsi="Times New Roman" w:cs="Times New Roman"/>
          <w:sz w:val="24"/>
          <w:szCs w:val="24"/>
        </w:rPr>
        <w:t xml:space="preserve"> </w:t>
      </w:r>
      <w:r w:rsidR="007D2C6A" w:rsidRPr="007D2C6A">
        <w:rPr>
          <w:rFonts w:ascii="Times New Roman" w:eastAsia="Times New Roman" w:hAnsi="Times New Roman" w:cs="Times New Roman"/>
          <w:sz w:val="24"/>
          <w:szCs w:val="24"/>
        </w:rPr>
        <w:t>Following the Second Nagorno-Karabakh War, and particularly after Azerbaijan's 2023 offensive that brought the Republic of Artsakh to an end, Armenia faced the challenge of redefining its security and foreign policy priorities. With increasing domestic disillusionment toward Russia—viewed by many Armenians as having failed to fulfill its role as security guarantor—Yerevan began seeking closer relations with the EU and other Western actors. This search, however, has been framed not in terms of hard balancing but in terms of political stabilization, legal alignment, and democratic consolidation.</w:t>
      </w:r>
    </w:p>
    <w:p w14:paraId="40308EFD" w14:textId="666DCE5F" w:rsidR="007D2C6A" w:rsidRPr="007D2C6A" w:rsidRDefault="007D2C6A" w:rsidP="007D2C6A">
      <w:pPr>
        <w:jc w:val="both"/>
        <w:rPr>
          <w:rFonts w:ascii="Times New Roman" w:eastAsia="Times New Roman" w:hAnsi="Times New Roman" w:cs="Times New Roman"/>
          <w:sz w:val="24"/>
          <w:szCs w:val="24"/>
        </w:rPr>
      </w:pPr>
      <w:r w:rsidRPr="007D2C6A">
        <w:rPr>
          <w:rFonts w:ascii="Times New Roman" w:eastAsia="Times New Roman" w:hAnsi="Times New Roman" w:cs="Times New Roman"/>
          <w:sz w:val="24"/>
          <w:szCs w:val="24"/>
        </w:rPr>
        <w:t>The EU’s role, though primarily normative, has started to translate into practical engagement. The establishment of the European Union Mission in Armenia (EUMA) in 2023</w:t>
      </w:r>
      <w:r w:rsidR="00FB6730">
        <w:rPr>
          <w:rFonts w:ascii="Times New Roman" w:eastAsia="Times New Roman" w:hAnsi="Times New Roman" w:cs="Times New Roman"/>
          <w:sz w:val="24"/>
          <w:szCs w:val="24"/>
        </w:rPr>
        <w:t xml:space="preserve"> as I said</w:t>
      </w:r>
      <w:r w:rsidRPr="007D2C6A">
        <w:rPr>
          <w:rFonts w:ascii="Times New Roman" w:eastAsia="Times New Roman" w:hAnsi="Times New Roman" w:cs="Times New Roman"/>
          <w:sz w:val="24"/>
          <w:szCs w:val="24"/>
        </w:rPr>
        <w:t>, following the deployment of a short-term civilian monitoring mission in 2022, was a crucial step in signaling EU commitment to stability in the region. Although unarmed and non-interventionist, the EUMA</w:t>
      </w:r>
      <w:r w:rsidR="00847966">
        <w:rPr>
          <w:rFonts w:ascii="Times New Roman" w:eastAsia="Times New Roman" w:hAnsi="Times New Roman" w:cs="Times New Roman"/>
          <w:sz w:val="24"/>
          <w:szCs w:val="24"/>
        </w:rPr>
        <w:t xml:space="preserve">, as pointed out before, </w:t>
      </w:r>
      <w:r w:rsidRPr="007D2C6A">
        <w:rPr>
          <w:rFonts w:ascii="Times New Roman" w:eastAsia="Times New Roman" w:hAnsi="Times New Roman" w:cs="Times New Roman"/>
          <w:sz w:val="24"/>
          <w:szCs w:val="24"/>
        </w:rPr>
        <w:t>has symbolic value as a form of external presence and a mechanism of international observation. It reflects the broader European approach to post-conflict peacebuilding, focused on legal mechanisms, human rights, and democratic institutions, rather than on military guarantees.</w:t>
      </w:r>
      <w:r w:rsidR="00847966">
        <w:rPr>
          <w:rFonts w:ascii="Times New Roman" w:eastAsia="Times New Roman" w:hAnsi="Times New Roman" w:cs="Times New Roman"/>
          <w:sz w:val="24"/>
          <w:szCs w:val="24"/>
        </w:rPr>
        <w:t xml:space="preserve"> </w:t>
      </w:r>
      <w:r w:rsidRPr="007D2C6A">
        <w:rPr>
          <w:rFonts w:ascii="Times New Roman" w:eastAsia="Times New Roman" w:hAnsi="Times New Roman" w:cs="Times New Roman"/>
          <w:sz w:val="24"/>
          <w:szCs w:val="24"/>
        </w:rPr>
        <w:t>Armenia's government has actively participated in this process of alignment. The 2017 Comprehensive and Enhanced Partnership Agreement (CEPA), remains the backbone of EU-Armenia cooperation. The Armenian government has continued to frame CEPA as a tool for democratic reform and modernization, especially in the judiciary, public administration, and anti-</w:t>
      </w:r>
      <w:r w:rsidRPr="007D2C6A">
        <w:rPr>
          <w:rFonts w:ascii="Times New Roman" w:eastAsia="Times New Roman" w:hAnsi="Times New Roman" w:cs="Times New Roman"/>
          <w:sz w:val="24"/>
          <w:szCs w:val="24"/>
        </w:rPr>
        <w:lastRenderedPageBreak/>
        <w:t>corruption sectors. At the same time, steps toward ratifying the Rome Statute of the International Criminal Court (formalized in 2023) signaled Armenia’s growing alignment with European legal frameworks—even at the cost of increased friction with Moscow.</w:t>
      </w:r>
    </w:p>
    <w:p w14:paraId="3A95D884" w14:textId="77777777" w:rsidR="00847966" w:rsidRDefault="007D2C6A" w:rsidP="007D2C6A">
      <w:pPr>
        <w:jc w:val="both"/>
        <w:rPr>
          <w:rFonts w:ascii="Times New Roman" w:eastAsia="Times New Roman" w:hAnsi="Times New Roman" w:cs="Times New Roman"/>
          <w:sz w:val="24"/>
          <w:szCs w:val="24"/>
        </w:rPr>
      </w:pPr>
      <w:r w:rsidRPr="007D2C6A">
        <w:rPr>
          <w:rFonts w:ascii="Times New Roman" w:eastAsia="Times New Roman" w:hAnsi="Times New Roman" w:cs="Times New Roman"/>
          <w:sz w:val="24"/>
          <w:szCs w:val="24"/>
        </w:rPr>
        <w:t>However, the EU’s limited hard power in the region imposes important constraints. The EU does not offer security guarantees, and its capacity to deter renewed aggression from Azerbaijan is negligible. As such, the credibility of its presence depends on diplomatic consistency and sustained economic and political engagement, not coercive force. This also means that EU support, while crucial, may not be sufficient to anchor Armenia’s democratization if internal tensions, nationalist backlash, or geopolitical isolation were to escalate.</w:t>
      </w:r>
      <w:r w:rsidR="00847966">
        <w:rPr>
          <w:rFonts w:ascii="Times New Roman" w:eastAsia="Times New Roman" w:hAnsi="Times New Roman" w:cs="Times New Roman"/>
          <w:sz w:val="24"/>
          <w:szCs w:val="24"/>
        </w:rPr>
        <w:t xml:space="preserve"> </w:t>
      </w:r>
      <w:r w:rsidRPr="007D2C6A">
        <w:rPr>
          <w:rFonts w:ascii="Times New Roman" w:eastAsia="Times New Roman" w:hAnsi="Times New Roman" w:cs="Times New Roman"/>
          <w:sz w:val="24"/>
          <w:szCs w:val="24"/>
        </w:rPr>
        <w:t>From the perspective of Territorial Peace Theory, the EU’s role fits the logic of “legal peacebuilding”: it supports Armenia in institutionalizing post-defeat democratization by helping shift the country’s security rationale away from military confrontation and toward international rule-based order. Yet, the risk of democratic backsliding remains real—especially as defeat may fuel new nationalist movements or revanchist discourses. In this sense, the EU’s efforts must go beyond normative encouragement</w:t>
      </w:r>
      <w:r w:rsidR="001A099F">
        <w:rPr>
          <w:rFonts w:ascii="Times New Roman" w:eastAsia="Times New Roman" w:hAnsi="Times New Roman" w:cs="Times New Roman"/>
          <w:sz w:val="24"/>
          <w:szCs w:val="24"/>
        </w:rPr>
        <w:t xml:space="preserve"> and power approach</w:t>
      </w:r>
      <w:r w:rsidRPr="007D2C6A">
        <w:rPr>
          <w:rFonts w:ascii="Times New Roman" w:eastAsia="Times New Roman" w:hAnsi="Times New Roman" w:cs="Times New Roman"/>
          <w:sz w:val="24"/>
          <w:szCs w:val="24"/>
        </w:rPr>
        <w:t xml:space="preserve"> and provide concrete incentives and resources for democratic resilience</w:t>
      </w:r>
      <w:r w:rsidR="00847966">
        <w:rPr>
          <w:rFonts w:ascii="Times New Roman" w:eastAsia="Times New Roman" w:hAnsi="Times New Roman" w:cs="Times New Roman"/>
          <w:sz w:val="24"/>
          <w:szCs w:val="24"/>
        </w:rPr>
        <w:t>.</w:t>
      </w:r>
    </w:p>
    <w:p w14:paraId="431C84EE" w14:textId="379A6EB5" w:rsidR="007D2C6A" w:rsidRDefault="00847966" w:rsidP="007D2C6A">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Therefore, the </w:t>
      </w:r>
      <w:r w:rsidR="007D2C6A" w:rsidRPr="007D2C6A">
        <w:rPr>
          <w:rFonts w:ascii="Times New Roman" w:eastAsia="Times New Roman" w:hAnsi="Times New Roman" w:cs="Times New Roman"/>
          <w:sz w:val="24"/>
          <w:szCs w:val="24"/>
        </w:rPr>
        <w:t xml:space="preserve">EU, while not a military actor in the South Caucasus, </w:t>
      </w:r>
      <w:r>
        <w:rPr>
          <w:rFonts w:ascii="Times New Roman" w:eastAsia="Times New Roman" w:hAnsi="Times New Roman" w:cs="Times New Roman"/>
          <w:sz w:val="24"/>
          <w:szCs w:val="24"/>
        </w:rPr>
        <w:t xml:space="preserve">has played and </w:t>
      </w:r>
      <w:r w:rsidR="007D2C6A" w:rsidRPr="007D2C6A">
        <w:rPr>
          <w:rFonts w:ascii="Times New Roman" w:eastAsia="Times New Roman" w:hAnsi="Times New Roman" w:cs="Times New Roman"/>
          <w:sz w:val="24"/>
          <w:szCs w:val="24"/>
        </w:rPr>
        <w:t>can</w:t>
      </w:r>
      <w:r>
        <w:rPr>
          <w:rFonts w:ascii="Times New Roman" w:eastAsia="Times New Roman" w:hAnsi="Times New Roman" w:cs="Times New Roman"/>
          <w:sz w:val="24"/>
          <w:szCs w:val="24"/>
        </w:rPr>
        <w:t xml:space="preserve"> still</w:t>
      </w:r>
      <w:r w:rsidR="007D2C6A" w:rsidRPr="007D2C6A">
        <w:rPr>
          <w:rFonts w:ascii="Times New Roman" w:eastAsia="Times New Roman" w:hAnsi="Times New Roman" w:cs="Times New Roman"/>
          <w:sz w:val="24"/>
          <w:szCs w:val="24"/>
        </w:rPr>
        <w:t xml:space="preserve"> play a crucial role in supporting Armenia’s transformation into a peace-seeking and democratically resilient state. This, however, depends on the EU’s willingness to treat Armenia not as a buffer zone but as a strategic partner—investing in long-term democratization even amidst geopolitical volatility.</w:t>
      </w:r>
    </w:p>
    <w:p w14:paraId="2B92C710" w14:textId="77777777" w:rsidR="00FB6730" w:rsidRDefault="00FB6730" w:rsidP="007D2C6A">
      <w:pPr>
        <w:jc w:val="both"/>
        <w:rPr>
          <w:rFonts w:ascii="Times New Roman" w:eastAsia="Times New Roman" w:hAnsi="Times New Roman" w:cs="Times New Roman"/>
          <w:sz w:val="24"/>
          <w:szCs w:val="24"/>
        </w:rPr>
      </w:pPr>
    </w:p>
    <w:p w14:paraId="3D41B0B7" w14:textId="77777777" w:rsidR="00FB6730" w:rsidRDefault="00FB6730" w:rsidP="007D2C6A">
      <w:pPr>
        <w:jc w:val="both"/>
        <w:rPr>
          <w:rFonts w:ascii="Times New Roman" w:eastAsia="Times New Roman" w:hAnsi="Times New Roman" w:cs="Times New Roman"/>
          <w:sz w:val="24"/>
          <w:szCs w:val="24"/>
        </w:rPr>
      </w:pPr>
    </w:p>
    <w:p w14:paraId="23C480C7" w14:textId="38EB7DB1" w:rsidR="007D2C6A" w:rsidRPr="00EB6C49" w:rsidRDefault="007D2C6A" w:rsidP="007D2C6A">
      <w:pPr>
        <w:jc w:val="both"/>
        <w:rPr>
          <w:rFonts w:ascii="Times New Roman" w:eastAsia="Times New Roman" w:hAnsi="Times New Roman" w:cs="Times New Roman"/>
          <w:b/>
          <w:bCs/>
          <w:sz w:val="28"/>
          <w:szCs w:val="28"/>
        </w:rPr>
      </w:pPr>
      <w:r w:rsidRPr="00EB6C49">
        <w:rPr>
          <w:rFonts w:ascii="Times New Roman" w:eastAsia="Times New Roman" w:hAnsi="Times New Roman" w:cs="Times New Roman"/>
          <w:b/>
          <w:bCs/>
          <w:sz w:val="28"/>
          <w:szCs w:val="28"/>
        </w:rPr>
        <w:t>Limitations and Risks of Interpreting Armenia through the Territorial Peace Lens</w:t>
      </w:r>
    </w:p>
    <w:p w14:paraId="448D04F2" w14:textId="77777777" w:rsidR="007D2C6A" w:rsidRPr="00EB6C49" w:rsidRDefault="007D2C6A" w:rsidP="007D2C6A">
      <w:pPr>
        <w:jc w:val="both"/>
        <w:rPr>
          <w:rFonts w:ascii="Times New Roman" w:eastAsia="Times New Roman" w:hAnsi="Times New Roman" w:cs="Times New Roman"/>
          <w:sz w:val="24"/>
          <w:szCs w:val="24"/>
        </w:rPr>
      </w:pPr>
      <w:r w:rsidRPr="00EB6C49">
        <w:rPr>
          <w:rFonts w:ascii="Times New Roman" w:eastAsia="Times New Roman" w:hAnsi="Times New Roman" w:cs="Times New Roman"/>
          <w:sz w:val="24"/>
          <w:szCs w:val="24"/>
        </w:rPr>
        <w:t>While the Territorial Peace Theory (TPT) offers a valuable framework for understanding Armenia’s post-defeat political trajectory, its application to the South Caucasus context must be approached with caution. Unlike many of the empirical cases used to support TPT—mostly drawn from consolidated democracies or post-authoritarian transitions with stable external borders—Armenia’s regional environment remains highly volatile. This raises questions about the long-term viability of democratization driven by territorial stabilization in the absence of credible security guarantees.</w:t>
      </w:r>
    </w:p>
    <w:p w14:paraId="2FC4F8C1" w14:textId="0FE1ADBB" w:rsidR="007D2C6A" w:rsidRPr="00EB6C49" w:rsidRDefault="007D2C6A" w:rsidP="007D2C6A">
      <w:pPr>
        <w:jc w:val="both"/>
        <w:rPr>
          <w:rFonts w:ascii="Times New Roman" w:eastAsia="Times New Roman" w:hAnsi="Times New Roman" w:cs="Times New Roman"/>
          <w:sz w:val="24"/>
          <w:szCs w:val="24"/>
        </w:rPr>
      </w:pPr>
      <w:r w:rsidRPr="00EB6C49">
        <w:rPr>
          <w:rFonts w:ascii="Times New Roman" w:eastAsia="Times New Roman" w:hAnsi="Times New Roman" w:cs="Times New Roman"/>
          <w:sz w:val="24"/>
          <w:szCs w:val="24"/>
        </w:rPr>
        <w:t xml:space="preserve">One limitation stems from the fragility of Armenia’s democratic institutions, which continue to face internal challenges such as politicized courts, media capture risks, and elite fragmentation (Freedom House 2023; Ishkanian 2021). While the defeat may have delegitimized the </w:t>
      </w:r>
      <w:r w:rsidR="007E17C9">
        <w:rPr>
          <w:rFonts w:ascii="Times New Roman" w:eastAsia="Times New Roman" w:hAnsi="Times New Roman" w:cs="Times New Roman"/>
          <w:sz w:val="24"/>
          <w:szCs w:val="24"/>
        </w:rPr>
        <w:t>securitized</w:t>
      </w:r>
      <w:r w:rsidRPr="00EB6C49">
        <w:rPr>
          <w:rFonts w:ascii="Times New Roman" w:eastAsia="Times New Roman" w:hAnsi="Times New Roman" w:cs="Times New Roman"/>
          <w:sz w:val="24"/>
          <w:szCs w:val="24"/>
        </w:rPr>
        <w:t xml:space="preserve"> “Karabakh clan,” it has not eradicated the political appeal of nationalist narratives, especially in rural or border regions affected by displacement and insecurity. Civil society remains vibrant, but increasingly polarized—a condition that may undermine liberal reform over time (Ginsburg &amp; Huq 2018).</w:t>
      </w:r>
      <w:r w:rsidR="00286F2E">
        <w:rPr>
          <w:rFonts w:ascii="Times New Roman" w:eastAsia="Times New Roman" w:hAnsi="Times New Roman" w:cs="Times New Roman"/>
          <w:sz w:val="24"/>
          <w:szCs w:val="24"/>
        </w:rPr>
        <w:t xml:space="preserve"> </w:t>
      </w:r>
      <w:r w:rsidRPr="00EB6C49">
        <w:rPr>
          <w:rFonts w:ascii="Times New Roman" w:eastAsia="Times New Roman" w:hAnsi="Times New Roman" w:cs="Times New Roman"/>
          <w:sz w:val="24"/>
          <w:szCs w:val="24"/>
        </w:rPr>
        <w:t>Another key limitation is TPT’s limited engagement with external threat persistence. In Armenia’s case, the territorial dispute may have ended on paper, but Azerbaijan’s assertiveness and Turkey’s regional ambitions continue to produce a perception of existential threat. The lack of a robust deterrence mechanism or binding international security framework (e.g. peacekeeping guarantees) leaves Armenia exposed. If domestic reform is not matched by credible external stability, the democratization process risks reversal under the pressure of renewed conflict or internal disillusionment (Levitsky &amp; Way 2010).</w:t>
      </w:r>
    </w:p>
    <w:p w14:paraId="1F04C637" w14:textId="2AC94905" w:rsidR="007D2C6A" w:rsidRPr="00EB6C49" w:rsidRDefault="007D2C6A" w:rsidP="007D2C6A">
      <w:pPr>
        <w:jc w:val="both"/>
        <w:rPr>
          <w:rFonts w:ascii="Times New Roman" w:eastAsia="Times New Roman" w:hAnsi="Times New Roman" w:cs="Times New Roman"/>
          <w:sz w:val="24"/>
          <w:szCs w:val="24"/>
        </w:rPr>
      </w:pPr>
      <w:r w:rsidRPr="00EB6C49">
        <w:rPr>
          <w:rFonts w:ascii="Times New Roman" w:eastAsia="Times New Roman" w:hAnsi="Times New Roman" w:cs="Times New Roman"/>
          <w:sz w:val="24"/>
          <w:szCs w:val="24"/>
        </w:rPr>
        <w:lastRenderedPageBreak/>
        <w:t>Moreover, the TPT framework may struggle to explain foreign policy choices driven by constraint rather than preference. Armenia’s pivot toward the EU, for example, has been partly strategic but also reactive—driven by Moscow’s perceived abandonment rather than a coherent liberal vision. This raises concerns that Armenia’s realignment may be insufficiently institutionalized to support lasting transformation, especially if the EU fails to match political engagement with tangible security incentives (Delcour &amp; Wolczuk 2015).</w:t>
      </w:r>
      <w:r w:rsidR="00286F2E">
        <w:rPr>
          <w:rFonts w:ascii="Times New Roman" w:eastAsia="Times New Roman" w:hAnsi="Times New Roman" w:cs="Times New Roman"/>
          <w:sz w:val="24"/>
          <w:szCs w:val="24"/>
        </w:rPr>
        <w:t xml:space="preserve"> </w:t>
      </w:r>
      <w:r w:rsidRPr="00EB6C49">
        <w:rPr>
          <w:rFonts w:ascii="Times New Roman" w:eastAsia="Times New Roman" w:hAnsi="Times New Roman" w:cs="Times New Roman"/>
          <w:sz w:val="24"/>
          <w:szCs w:val="24"/>
        </w:rPr>
        <w:t>Finally, the broader regional dynamics remain unresolved. Georgia faces its own democratic backsliding; Azerbaijan continues to pursue militarized diplomacy; and Russia, despite its declining influence, retains strategic levers. Within such a context, a small, landlocked democracy may find itself structurally constrained, no matter how internally resilient.</w:t>
      </w:r>
    </w:p>
    <w:p w14:paraId="1534EC32" w14:textId="77777777" w:rsidR="007D2C6A" w:rsidRDefault="007D2C6A" w:rsidP="007D2C6A">
      <w:pPr>
        <w:jc w:val="both"/>
        <w:rPr>
          <w:rFonts w:ascii="Times New Roman" w:eastAsia="Times New Roman" w:hAnsi="Times New Roman" w:cs="Times New Roman"/>
          <w:sz w:val="24"/>
          <w:szCs w:val="24"/>
        </w:rPr>
      </w:pPr>
      <w:r w:rsidRPr="00EB6C49">
        <w:rPr>
          <w:rFonts w:ascii="Times New Roman" w:eastAsia="Times New Roman" w:hAnsi="Times New Roman" w:cs="Times New Roman"/>
          <w:sz w:val="24"/>
          <w:szCs w:val="24"/>
        </w:rPr>
        <w:t>In sum, while TPT helps us make sense of certain aspects of Armenia’s domestic evolution, it must be complemented by critical attention to institutional fragility, geopolitical exposure, and external actor inconsistency. Armenia might currently reflect the characteristics of a TPT case, but whether it can remain one will depend on its capacity to balance reform with regional realism.</w:t>
      </w:r>
    </w:p>
    <w:p w14:paraId="50A00F6F" w14:textId="77777777" w:rsidR="007D2C6A" w:rsidRDefault="007D2C6A">
      <w:pPr>
        <w:jc w:val="both"/>
        <w:rPr>
          <w:rFonts w:ascii="Times New Roman" w:eastAsia="Times New Roman" w:hAnsi="Times New Roman" w:cs="Times New Roman"/>
          <w:sz w:val="24"/>
          <w:szCs w:val="24"/>
        </w:rPr>
      </w:pPr>
    </w:p>
    <w:p w14:paraId="00000031" w14:textId="77777777" w:rsidR="003D6E6D" w:rsidRDefault="003D6E6D">
      <w:pPr>
        <w:jc w:val="both"/>
        <w:rPr>
          <w:rFonts w:ascii="Times New Roman" w:eastAsia="Times New Roman" w:hAnsi="Times New Roman" w:cs="Times New Roman"/>
          <w:sz w:val="24"/>
          <w:szCs w:val="24"/>
        </w:rPr>
      </w:pPr>
    </w:p>
    <w:p w14:paraId="00000032" w14:textId="77777777" w:rsidR="003D6E6D" w:rsidRDefault="003D6E6D">
      <w:pPr>
        <w:jc w:val="both"/>
        <w:rPr>
          <w:rFonts w:ascii="Times New Roman" w:eastAsia="Times New Roman" w:hAnsi="Times New Roman" w:cs="Times New Roman"/>
          <w:sz w:val="24"/>
          <w:szCs w:val="24"/>
        </w:rPr>
      </w:pPr>
    </w:p>
    <w:p w14:paraId="4C52D74D" w14:textId="77777777" w:rsidR="00E2383A" w:rsidRDefault="00E2383A">
      <w:pPr>
        <w:jc w:val="both"/>
        <w:rPr>
          <w:rFonts w:ascii="Times New Roman" w:eastAsia="Times New Roman" w:hAnsi="Times New Roman" w:cs="Times New Roman"/>
          <w:b/>
          <w:sz w:val="24"/>
          <w:szCs w:val="24"/>
        </w:rPr>
      </w:pPr>
    </w:p>
    <w:p w14:paraId="07203ED8" w14:textId="77777777" w:rsidR="00194240" w:rsidRDefault="00194240">
      <w:pPr>
        <w:jc w:val="both"/>
        <w:rPr>
          <w:rFonts w:ascii="Times New Roman" w:eastAsia="Times New Roman" w:hAnsi="Times New Roman" w:cs="Times New Roman"/>
          <w:b/>
          <w:sz w:val="24"/>
          <w:szCs w:val="24"/>
        </w:rPr>
      </w:pPr>
    </w:p>
    <w:p w14:paraId="559CB485" w14:textId="77777777" w:rsidR="00194240" w:rsidRDefault="00194240">
      <w:pPr>
        <w:jc w:val="both"/>
        <w:rPr>
          <w:rFonts w:ascii="Times New Roman" w:eastAsia="Times New Roman" w:hAnsi="Times New Roman" w:cs="Times New Roman"/>
          <w:b/>
          <w:sz w:val="24"/>
          <w:szCs w:val="24"/>
        </w:rPr>
      </w:pPr>
    </w:p>
    <w:p w14:paraId="00000033" w14:textId="6AEDBBBD" w:rsidR="003D6E6D" w:rsidRDefault="00000000">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Conclusion</w:t>
      </w:r>
    </w:p>
    <w:p w14:paraId="4B4F2E21" w14:textId="3444DA83" w:rsidR="007D2C6A" w:rsidRPr="007D2C6A" w:rsidRDefault="007D2C6A" w:rsidP="007D2C6A">
      <w:pPr>
        <w:jc w:val="both"/>
        <w:rPr>
          <w:rFonts w:ascii="Times New Roman" w:eastAsia="Times New Roman" w:hAnsi="Times New Roman" w:cs="Times New Roman"/>
          <w:bCs/>
          <w:sz w:val="24"/>
          <w:szCs w:val="24"/>
        </w:rPr>
      </w:pPr>
      <w:r w:rsidRPr="007D2C6A">
        <w:rPr>
          <w:rFonts w:ascii="Times New Roman" w:eastAsia="Times New Roman" w:hAnsi="Times New Roman" w:cs="Times New Roman"/>
          <w:bCs/>
          <w:sz w:val="24"/>
          <w:szCs w:val="24"/>
        </w:rPr>
        <w:t>Armenia’s trajectory following its defeats in Nagorno-Karabakh challenges conventional assumptions about the political consequences of war and territorial loss. Rather than regressing into</w:t>
      </w:r>
      <w:r>
        <w:rPr>
          <w:rFonts w:ascii="Times New Roman" w:eastAsia="Times New Roman" w:hAnsi="Times New Roman" w:cs="Times New Roman"/>
          <w:bCs/>
          <w:sz w:val="24"/>
          <w:szCs w:val="24"/>
        </w:rPr>
        <w:t xml:space="preserve"> </w:t>
      </w:r>
      <w:r w:rsidRPr="007D2C6A">
        <w:rPr>
          <w:rFonts w:ascii="Times New Roman" w:eastAsia="Times New Roman" w:hAnsi="Times New Roman" w:cs="Times New Roman"/>
          <w:bCs/>
          <w:sz w:val="24"/>
          <w:szCs w:val="24"/>
        </w:rPr>
        <w:t>autocracy or revanchist nationalism, Armenia has—at least tentatively—embraced a path of institutional renewal, external realignment, and civic engagement. This article has argued that the Territorial Peace Theory provides a useful framework for interpreting this paradox: by eliminating a destabilizing territorial conflict, Armenia has opened space for democratic consolidation.</w:t>
      </w:r>
    </w:p>
    <w:p w14:paraId="7BA4822B" w14:textId="77777777" w:rsidR="007D2C6A" w:rsidRPr="007D2C6A" w:rsidRDefault="007D2C6A" w:rsidP="007D2C6A">
      <w:pPr>
        <w:jc w:val="both"/>
        <w:rPr>
          <w:rFonts w:ascii="Times New Roman" w:eastAsia="Times New Roman" w:hAnsi="Times New Roman" w:cs="Times New Roman"/>
          <w:bCs/>
          <w:sz w:val="24"/>
          <w:szCs w:val="24"/>
        </w:rPr>
      </w:pPr>
      <w:r w:rsidRPr="007D2C6A">
        <w:rPr>
          <w:rFonts w:ascii="Times New Roman" w:eastAsia="Times New Roman" w:hAnsi="Times New Roman" w:cs="Times New Roman"/>
          <w:bCs/>
          <w:sz w:val="24"/>
          <w:szCs w:val="24"/>
        </w:rPr>
        <w:t>At the same time, this transformation is fragile and far from complete. The trauma of military defeat, the humanitarian crisis of displaced populations, and the uncertainty of future regional dynamics continue to weigh heavily on Armenian society. Moreover, the persistence of nationalist rhetoric, the vulnerability of democratic institutions, and the limited capacity of external actors like the EU to provide security support all pose risks to the durability of recent gains.</w:t>
      </w:r>
    </w:p>
    <w:p w14:paraId="104CBCA5" w14:textId="77777777" w:rsidR="00194240" w:rsidRDefault="007D2C6A">
      <w:pPr>
        <w:jc w:val="both"/>
        <w:rPr>
          <w:rFonts w:ascii="Times New Roman" w:eastAsia="Times New Roman" w:hAnsi="Times New Roman" w:cs="Times New Roman"/>
          <w:bCs/>
          <w:sz w:val="24"/>
          <w:szCs w:val="24"/>
        </w:rPr>
      </w:pPr>
      <w:r w:rsidRPr="007D2C6A">
        <w:rPr>
          <w:rFonts w:ascii="Times New Roman" w:eastAsia="Times New Roman" w:hAnsi="Times New Roman" w:cs="Times New Roman"/>
          <w:bCs/>
          <w:sz w:val="24"/>
          <w:szCs w:val="24"/>
        </w:rPr>
        <w:t>Nevertheless, Armenia’s case suggests that territorial loss does not inevitably lead to political collapse. Under specific conditions—particularly where defeat discredits militarized elites and prompts a strategic rethinking of national priorities—such losses may even generate openings for democratic development. While the coming years will test the resilience of Armenia’s reforms, the post-Karabakh period should be understood not only as a time of grief, but also as a critical juncture in the long and uncertain path toward a more democratic statehood.</w:t>
      </w:r>
    </w:p>
    <w:p w14:paraId="631F08D8" w14:textId="77777777" w:rsidR="00194240" w:rsidRDefault="00194240">
      <w:pPr>
        <w:jc w:val="both"/>
        <w:rPr>
          <w:rFonts w:ascii="Times New Roman" w:eastAsia="Times New Roman" w:hAnsi="Times New Roman" w:cs="Times New Roman"/>
          <w:b/>
          <w:sz w:val="24"/>
          <w:szCs w:val="24"/>
        </w:rPr>
      </w:pPr>
    </w:p>
    <w:p w14:paraId="33749BB5" w14:textId="77777777" w:rsidR="00194240" w:rsidRDefault="00194240">
      <w:pPr>
        <w:jc w:val="both"/>
        <w:rPr>
          <w:rFonts w:ascii="Times New Roman" w:eastAsia="Times New Roman" w:hAnsi="Times New Roman" w:cs="Times New Roman"/>
          <w:b/>
          <w:sz w:val="24"/>
          <w:szCs w:val="24"/>
        </w:rPr>
      </w:pPr>
    </w:p>
    <w:p w14:paraId="74873994" w14:textId="77777777" w:rsidR="00912B33" w:rsidRDefault="00912B33">
      <w:pPr>
        <w:jc w:val="both"/>
        <w:rPr>
          <w:rFonts w:ascii="Times New Roman" w:eastAsia="Times New Roman" w:hAnsi="Times New Roman" w:cs="Times New Roman"/>
          <w:b/>
          <w:sz w:val="24"/>
          <w:szCs w:val="24"/>
        </w:rPr>
      </w:pPr>
    </w:p>
    <w:p w14:paraId="00000044" w14:textId="6DF1E912" w:rsidR="003D6E6D" w:rsidRDefault="00000000">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Bibliography</w:t>
      </w:r>
    </w:p>
    <w:p w14:paraId="0A7C3C53" w14:textId="77777777" w:rsidR="007121E7" w:rsidRDefault="007121E7" w:rsidP="000D78A5">
      <w:pPr>
        <w:jc w:val="both"/>
        <w:rPr>
          <w:rFonts w:ascii="Times New Roman" w:eastAsia="Times New Roman" w:hAnsi="Times New Roman" w:cs="Times New Roman"/>
          <w:bCs/>
          <w:sz w:val="24"/>
          <w:szCs w:val="24"/>
        </w:rPr>
      </w:pPr>
    </w:p>
    <w:p w14:paraId="1781EF51" w14:textId="464CC70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Abrahamyan, Eduard. 2022. “Armenia’s Post-War Security Architecture: Between Strategic Shift and Structural Constraints.” </w:t>
      </w:r>
      <w:r w:rsidRPr="000D78A5">
        <w:rPr>
          <w:rFonts w:ascii="Times New Roman" w:eastAsia="Times New Roman" w:hAnsi="Times New Roman" w:cs="Times New Roman"/>
          <w:bCs/>
          <w:i/>
          <w:iCs/>
          <w:sz w:val="24"/>
          <w:szCs w:val="24"/>
        </w:rPr>
        <w:t>Caucasus Analytical Digest</w:t>
      </w:r>
      <w:r w:rsidRPr="000D78A5">
        <w:rPr>
          <w:rFonts w:ascii="Times New Roman" w:eastAsia="Times New Roman" w:hAnsi="Times New Roman" w:cs="Times New Roman"/>
          <w:bCs/>
          <w:sz w:val="24"/>
          <w:szCs w:val="24"/>
        </w:rPr>
        <w:t xml:space="preserve"> 127: 6–9.</w:t>
      </w:r>
    </w:p>
    <w:p w14:paraId="6EC6A926"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Aleksanyan, Yervand. 2023. “The European Integration Policy of the Republic of Armenia Before and After the 2020 War.” </w:t>
      </w:r>
      <w:r w:rsidRPr="000D78A5">
        <w:rPr>
          <w:rFonts w:ascii="Times New Roman" w:eastAsia="Times New Roman" w:hAnsi="Times New Roman" w:cs="Times New Roman"/>
          <w:bCs/>
          <w:i/>
          <w:iCs/>
          <w:sz w:val="24"/>
          <w:szCs w:val="24"/>
        </w:rPr>
        <w:t>European Politics and Society</w:t>
      </w:r>
      <w:r w:rsidRPr="000D78A5">
        <w:rPr>
          <w:rFonts w:ascii="Times New Roman" w:eastAsia="Times New Roman" w:hAnsi="Times New Roman" w:cs="Times New Roman"/>
          <w:bCs/>
          <w:sz w:val="24"/>
          <w:szCs w:val="24"/>
        </w:rPr>
        <w:t>.</w:t>
      </w:r>
    </w:p>
    <w:p w14:paraId="72D85B56"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Bennett, D. Scott, and Allan C. Stam. 2004. </w:t>
      </w:r>
      <w:r w:rsidRPr="000D78A5">
        <w:rPr>
          <w:rFonts w:ascii="Times New Roman" w:eastAsia="Times New Roman" w:hAnsi="Times New Roman" w:cs="Times New Roman"/>
          <w:bCs/>
          <w:i/>
          <w:iCs/>
          <w:sz w:val="24"/>
          <w:szCs w:val="24"/>
        </w:rPr>
        <w:t>The Behavioral Origins of War</w:t>
      </w:r>
      <w:r w:rsidRPr="000D78A5">
        <w:rPr>
          <w:rFonts w:ascii="Times New Roman" w:eastAsia="Times New Roman" w:hAnsi="Times New Roman" w:cs="Times New Roman"/>
          <w:bCs/>
          <w:sz w:val="24"/>
          <w:szCs w:val="24"/>
        </w:rPr>
        <w:t>. Ann Arbor: University of Michigan Press.</w:t>
      </w:r>
    </w:p>
    <w:p w14:paraId="7134E315"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Bermeo, Nancy. 2003. “What the Democratization Literature Says—or Doesn't Say—About Postwar Democratization.” </w:t>
      </w:r>
      <w:r w:rsidRPr="000D78A5">
        <w:rPr>
          <w:rFonts w:ascii="Times New Roman" w:eastAsia="Times New Roman" w:hAnsi="Times New Roman" w:cs="Times New Roman"/>
          <w:bCs/>
          <w:i/>
          <w:iCs/>
          <w:sz w:val="24"/>
          <w:szCs w:val="24"/>
        </w:rPr>
        <w:t>Global Governance: A Review of Multilateralism and International Organizations</w:t>
      </w:r>
      <w:r w:rsidRPr="000D78A5">
        <w:rPr>
          <w:rFonts w:ascii="Times New Roman" w:eastAsia="Times New Roman" w:hAnsi="Times New Roman" w:cs="Times New Roman"/>
          <w:bCs/>
          <w:sz w:val="24"/>
          <w:szCs w:val="24"/>
        </w:rPr>
        <w:t>.</w:t>
      </w:r>
    </w:p>
    <w:p w14:paraId="14F88BC0"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Bermeo, Nancy. 2010. “War and Democratization: Lessons from the Portuguese Experience.” </w:t>
      </w:r>
      <w:r w:rsidRPr="000D78A5">
        <w:rPr>
          <w:rFonts w:ascii="Times New Roman" w:eastAsia="Times New Roman" w:hAnsi="Times New Roman" w:cs="Times New Roman"/>
          <w:bCs/>
          <w:i/>
          <w:iCs/>
          <w:sz w:val="24"/>
          <w:szCs w:val="24"/>
        </w:rPr>
        <w:t>Democratization</w:t>
      </w:r>
      <w:r w:rsidRPr="000D78A5">
        <w:rPr>
          <w:rFonts w:ascii="Times New Roman" w:eastAsia="Times New Roman" w:hAnsi="Times New Roman" w:cs="Times New Roman"/>
          <w:bCs/>
          <w:sz w:val="24"/>
          <w:szCs w:val="24"/>
        </w:rPr>
        <w:t xml:space="preserve"> 14.</w:t>
      </w:r>
    </w:p>
    <w:p w14:paraId="1E16069D"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Broers, Laurence. 2015. “The Nagorny Karabakh Conflict: Defaulting to War.” </w:t>
      </w:r>
      <w:r w:rsidRPr="000D78A5">
        <w:rPr>
          <w:rFonts w:ascii="Times New Roman" w:eastAsia="Times New Roman" w:hAnsi="Times New Roman" w:cs="Times New Roman"/>
          <w:bCs/>
          <w:i/>
          <w:iCs/>
          <w:sz w:val="24"/>
          <w:szCs w:val="24"/>
        </w:rPr>
        <w:t>Chatham House Research Paper</w:t>
      </w:r>
      <w:r w:rsidRPr="000D78A5">
        <w:rPr>
          <w:rFonts w:ascii="Times New Roman" w:eastAsia="Times New Roman" w:hAnsi="Times New Roman" w:cs="Times New Roman"/>
          <w:bCs/>
          <w:sz w:val="24"/>
          <w:szCs w:val="24"/>
        </w:rPr>
        <w:t>.</w:t>
      </w:r>
    </w:p>
    <w:p w14:paraId="4E0881E9"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Broers, Laurence. 2019. </w:t>
      </w:r>
      <w:r w:rsidRPr="000D78A5">
        <w:rPr>
          <w:rFonts w:ascii="Times New Roman" w:eastAsia="Times New Roman" w:hAnsi="Times New Roman" w:cs="Times New Roman"/>
          <w:bCs/>
          <w:i/>
          <w:iCs/>
          <w:sz w:val="24"/>
          <w:szCs w:val="24"/>
        </w:rPr>
        <w:t>Armenia and Azerbaijan: Anatomy of a Rivalry</w:t>
      </w:r>
      <w:r w:rsidRPr="000D78A5">
        <w:rPr>
          <w:rFonts w:ascii="Times New Roman" w:eastAsia="Times New Roman" w:hAnsi="Times New Roman" w:cs="Times New Roman"/>
          <w:bCs/>
          <w:sz w:val="24"/>
          <w:szCs w:val="24"/>
        </w:rPr>
        <w:t>. Edinburgh: Edinburgh University Press.</w:t>
      </w:r>
    </w:p>
    <w:p w14:paraId="376CAF6C"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Broers, Laurence. 2019. “Stuck in Post-Liberal Limbo? Conflict Resolution in the South Caucasus.” In </w:t>
      </w:r>
      <w:r w:rsidRPr="000D78A5">
        <w:rPr>
          <w:rFonts w:ascii="Times New Roman" w:eastAsia="Times New Roman" w:hAnsi="Times New Roman" w:cs="Times New Roman"/>
          <w:bCs/>
          <w:i/>
          <w:iCs/>
          <w:sz w:val="24"/>
          <w:szCs w:val="24"/>
        </w:rPr>
        <w:t>Exploring Post-Liberal Approaches to Peace in the South Caucasus</w:t>
      </w:r>
      <w:r w:rsidRPr="000D78A5">
        <w:rPr>
          <w:rFonts w:ascii="Times New Roman" w:eastAsia="Times New Roman" w:hAnsi="Times New Roman" w:cs="Times New Roman"/>
          <w:bCs/>
          <w:sz w:val="24"/>
          <w:szCs w:val="24"/>
        </w:rPr>
        <w:t>. Caucasus Edition.</w:t>
      </w:r>
    </w:p>
    <w:p w14:paraId="5F928BAA"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Broers, Laurence. 2020. “Armenia’s Revolution and the Karabakh Conflict: A Window of Opportunity or Structural Impasse?” </w:t>
      </w:r>
      <w:r w:rsidRPr="000D78A5">
        <w:rPr>
          <w:rFonts w:ascii="Times New Roman" w:eastAsia="Times New Roman" w:hAnsi="Times New Roman" w:cs="Times New Roman"/>
          <w:bCs/>
          <w:i/>
          <w:iCs/>
          <w:sz w:val="24"/>
          <w:szCs w:val="24"/>
        </w:rPr>
        <w:t>Caucasus Survey</w:t>
      </w:r>
      <w:r w:rsidRPr="000D78A5">
        <w:rPr>
          <w:rFonts w:ascii="Times New Roman" w:eastAsia="Times New Roman" w:hAnsi="Times New Roman" w:cs="Times New Roman"/>
          <w:bCs/>
          <w:sz w:val="24"/>
          <w:szCs w:val="24"/>
        </w:rPr>
        <w:t xml:space="preserve"> 8 (3): 210–223.</w:t>
      </w:r>
    </w:p>
    <w:p w14:paraId="1404D2E6"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Conceição-Heldt, Eugenia, and Sophie Meunier. 2014. “Speaking with a Single Voice: Internal Cohesiveness and External Effectiveness of the EU in Global Governance.” </w:t>
      </w:r>
      <w:r w:rsidRPr="000D78A5">
        <w:rPr>
          <w:rFonts w:ascii="Times New Roman" w:eastAsia="Times New Roman" w:hAnsi="Times New Roman" w:cs="Times New Roman"/>
          <w:bCs/>
          <w:i/>
          <w:iCs/>
          <w:sz w:val="24"/>
          <w:szCs w:val="24"/>
        </w:rPr>
        <w:t>Journal of European Public Policy</w:t>
      </w:r>
      <w:r w:rsidRPr="000D78A5">
        <w:rPr>
          <w:rFonts w:ascii="Times New Roman" w:eastAsia="Times New Roman" w:hAnsi="Times New Roman" w:cs="Times New Roman"/>
          <w:bCs/>
          <w:sz w:val="24"/>
          <w:szCs w:val="24"/>
        </w:rPr>
        <w:t>.</w:t>
      </w:r>
    </w:p>
    <w:p w14:paraId="181B88BD"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Cornell, Svante E. 1999. </w:t>
      </w:r>
      <w:r w:rsidRPr="000D78A5">
        <w:rPr>
          <w:rFonts w:ascii="Times New Roman" w:eastAsia="Times New Roman" w:hAnsi="Times New Roman" w:cs="Times New Roman"/>
          <w:bCs/>
          <w:i/>
          <w:iCs/>
          <w:sz w:val="24"/>
          <w:szCs w:val="24"/>
        </w:rPr>
        <w:t>The Nagorno-Karabakh Conflict</w:t>
      </w:r>
      <w:r w:rsidRPr="000D78A5">
        <w:rPr>
          <w:rFonts w:ascii="Times New Roman" w:eastAsia="Times New Roman" w:hAnsi="Times New Roman" w:cs="Times New Roman"/>
          <w:bCs/>
          <w:sz w:val="24"/>
          <w:szCs w:val="24"/>
        </w:rPr>
        <w:t>. Stockholm: Department of East European Studies.</w:t>
      </w:r>
    </w:p>
    <w:p w14:paraId="73598390"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Cornell, Svante E. 2021. “The South Caucasus: Between Integration and Fragmentation.” In </w:t>
      </w:r>
      <w:r w:rsidRPr="000D78A5">
        <w:rPr>
          <w:rFonts w:ascii="Times New Roman" w:eastAsia="Times New Roman" w:hAnsi="Times New Roman" w:cs="Times New Roman"/>
          <w:bCs/>
          <w:i/>
          <w:iCs/>
          <w:sz w:val="24"/>
          <w:szCs w:val="24"/>
        </w:rPr>
        <w:t>The Wider Black Sea Region in the 21st Century: Strategic, Economic and Energy Perspectives</w:t>
      </w:r>
      <w:r w:rsidRPr="000D78A5">
        <w:rPr>
          <w:rFonts w:ascii="Times New Roman" w:eastAsia="Times New Roman" w:hAnsi="Times New Roman" w:cs="Times New Roman"/>
          <w:bCs/>
          <w:sz w:val="24"/>
          <w:szCs w:val="24"/>
        </w:rPr>
        <w:t>, edited by Daniel S. Hamilton and Gerhard Mangott, 113–130. Washington, DC: Center for Transatlantic Relations.</w:t>
      </w:r>
    </w:p>
    <w:p w14:paraId="4C192166"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Council of Europe. 2022. </w:t>
      </w:r>
      <w:r w:rsidRPr="000D78A5">
        <w:rPr>
          <w:rFonts w:ascii="Times New Roman" w:eastAsia="Times New Roman" w:hAnsi="Times New Roman" w:cs="Times New Roman"/>
          <w:bCs/>
          <w:i/>
          <w:iCs/>
          <w:sz w:val="24"/>
          <w:szCs w:val="24"/>
        </w:rPr>
        <w:t>Action Plan for Armenia 2023–2026</w:t>
      </w:r>
      <w:r w:rsidRPr="000D78A5">
        <w:rPr>
          <w:rFonts w:ascii="Times New Roman" w:eastAsia="Times New Roman" w:hAnsi="Times New Roman" w:cs="Times New Roman"/>
          <w:bCs/>
          <w:sz w:val="24"/>
          <w:szCs w:val="24"/>
        </w:rPr>
        <w:t>. Strasbourg, 6 September.</w:t>
      </w:r>
    </w:p>
    <w:p w14:paraId="7B232A15" w14:textId="77777777" w:rsid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Council of the European Union. 2018. </w:t>
      </w:r>
      <w:r w:rsidRPr="000D78A5">
        <w:rPr>
          <w:rFonts w:ascii="Times New Roman" w:eastAsia="Times New Roman" w:hAnsi="Times New Roman" w:cs="Times New Roman"/>
          <w:bCs/>
          <w:i/>
          <w:iCs/>
          <w:sz w:val="24"/>
          <w:szCs w:val="24"/>
        </w:rPr>
        <w:t>The Integrated Approach to External Conflicts and Crises</w:t>
      </w:r>
      <w:r w:rsidRPr="000D78A5">
        <w:rPr>
          <w:rFonts w:ascii="Times New Roman" w:eastAsia="Times New Roman" w:hAnsi="Times New Roman" w:cs="Times New Roman"/>
          <w:bCs/>
          <w:sz w:val="24"/>
          <w:szCs w:val="24"/>
        </w:rPr>
        <w:t>. Brussels, 22 January.</w:t>
      </w:r>
    </w:p>
    <w:p w14:paraId="7B520CA8" w14:textId="77777777" w:rsid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Delcour, Laure, and Kataryna Wolczuk. 2015. “The EU’s Unexpected ‘Ideal Partner’? The EU and Authoritarian Regimes in the Eastern Neighbourhood.” </w:t>
      </w:r>
      <w:r w:rsidRPr="000D78A5">
        <w:rPr>
          <w:rFonts w:ascii="Times New Roman" w:eastAsia="Times New Roman" w:hAnsi="Times New Roman" w:cs="Times New Roman"/>
          <w:bCs/>
          <w:i/>
          <w:iCs/>
          <w:sz w:val="24"/>
          <w:szCs w:val="24"/>
        </w:rPr>
        <w:t>Contemporary Politics</w:t>
      </w:r>
      <w:r w:rsidRPr="000D78A5">
        <w:rPr>
          <w:rFonts w:ascii="Times New Roman" w:eastAsia="Times New Roman" w:hAnsi="Times New Roman" w:cs="Times New Roman"/>
          <w:bCs/>
          <w:sz w:val="24"/>
          <w:szCs w:val="24"/>
        </w:rPr>
        <w:t xml:space="preserve"> 21, no. 4: 408–426.</w:t>
      </w:r>
    </w:p>
    <w:p w14:paraId="0F125447" w14:textId="22A6FD59"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Delcour, Laure. 2021. “The Road to Equality? EU Diffusion of Anti-Discrimination Norms in Armenia.” </w:t>
      </w:r>
      <w:r w:rsidRPr="000D78A5">
        <w:rPr>
          <w:rFonts w:ascii="Times New Roman" w:eastAsia="Times New Roman" w:hAnsi="Times New Roman" w:cs="Times New Roman"/>
          <w:bCs/>
          <w:i/>
          <w:iCs/>
          <w:sz w:val="24"/>
          <w:szCs w:val="24"/>
        </w:rPr>
        <w:t>Democratization</w:t>
      </w:r>
      <w:r w:rsidRPr="000D78A5">
        <w:rPr>
          <w:rFonts w:ascii="Times New Roman" w:eastAsia="Times New Roman" w:hAnsi="Times New Roman" w:cs="Times New Roman"/>
          <w:bCs/>
          <w:sz w:val="24"/>
          <w:szCs w:val="24"/>
        </w:rPr>
        <w:t xml:space="preserve"> 29.</w:t>
      </w:r>
    </w:p>
    <w:p w14:paraId="4D37E9F4"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lastRenderedPageBreak/>
        <w:t xml:space="preserve">Delcour, Laure. 2022. “The EU and Resilience in the South Caucasus: A Normative Power in Action?” </w:t>
      </w:r>
      <w:r w:rsidRPr="000D78A5">
        <w:rPr>
          <w:rFonts w:ascii="Times New Roman" w:eastAsia="Times New Roman" w:hAnsi="Times New Roman" w:cs="Times New Roman"/>
          <w:bCs/>
          <w:i/>
          <w:iCs/>
          <w:sz w:val="24"/>
          <w:szCs w:val="24"/>
        </w:rPr>
        <w:t>European Foreign Affairs Review</w:t>
      </w:r>
      <w:r w:rsidRPr="000D78A5">
        <w:rPr>
          <w:rFonts w:ascii="Times New Roman" w:eastAsia="Times New Roman" w:hAnsi="Times New Roman" w:cs="Times New Roman"/>
          <w:bCs/>
          <w:sz w:val="24"/>
          <w:szCs w:val="24"/>
        </w:rPr>
        <w:t xml:space="preserve"> 27 (2): 235–250.</w:t>
      </w:r>
    </w:p>
    <w:p w14:paraId="75171E63" w14:textId="7CD3BD66" w:rsid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Delcour, Laure and</w:t>
      </w:r>
      <w:r w:rsidR="00CA1DA9">
        <w:rPr>
          <w:rFonts w:ascii="Times New Roman" w:eastAsia="Times New Roman" w:hAnsi="Times New Roman" w:cs="Times New Roman"/>
          <w:bCs/>
          <w:sz w:val="24"/>
          <w:szCs w:val="24"/>
        </w:rPr>
        <w:t xml:space="preserve"> </w:t>
      </w:r>
      <w:r w:rsidRPr="000D78A5">
        <w:rPr>
          <w:rFonts w:ascii="Times New Roman" w:eastAsia="Times New Roman" w:hAnsi="Times New Roman" w:cs="Times New Roman"/>
          <w:bCs/>
          <w:sz w:val="24"/>
          <w:szCs w:val="24"/>
        </w:rPr>
        <w:t>Ghazaryan</w:t>
      </w:r>
      <w:r w:rsidR="00CA1DA9">
        <w:rPr>
          <w:rFonts w:ascii="Times New Roman" w:eastAsia="Times New Roman" w:hAnsi="Times New Roman" w:cs="Times New Roman"/>
          <w:bCs/>
          <w:sz w:val="24"/>
          <w:szCs w:val="24"/>
        </w:rPr>
        <w:t>, Narine</w:t>
      </w:r>
      <w:r w:rsidRPr="000D78A5">
        <w:rPr>
          <w:rFonts w:ascii="Times New Roman" w:eastAsia="Times New Roman" w:hAnsi="Times New Roman" w:cs="Times New Roman"/>
          <w:bCs/>
          <w:sz w:val="24"/>
          <w:szCs w:val="24"/>
        </w:rPr>
        <w:t xml:space="preserve">. 2024. “Armenia’s Fragile Democratisation: A New Role for the EU?” </w:t>
      </w:r>
      <w:r w:rsidRPr="000D78A5">
        <w:rPr>
          <w:rFonts w:ascii="Times New Roman" w:eastAsia="Times New Roman" w:hAnsi="Times New Roman" w:cs="Times New Roman"/>
          <w:bCs/>
          <w:i/>
          <w:iCs/>
          <w:sz w:val="24"/>
          <w:szCs w:val="24"/>
        </w:rPr>
        <w:t>European Democracy Hub</w:t>
      </w:r>
      <w:r w:rsidRPr="000D78A5">
        <w:rPr>
          <w:rFonts w:ascii="Times New Roman" w:eastAsia="Times New Roman" w:hAnsi="Times New Roman" w:cs="Times New Roman"/>
          <w:bCs/>
          <w:sz w:val="24"/>
          <w:szCs w:val="24"/>
        </w:rPr>
        <w:t>.</w:t>
      </w:r>
    </w:p>
    <w:p w14:paraId="1CB3C7BE" w14:textId="00EFC93A" w:rsidR="00CA1DA9" w:rsidRPr="000D78A5" w:rsidRDefault="00CA1DA9" w:rsidP="000D78A5">
      <w:pPr>
        <w:jc w:val="both"/>
        <w:rPr>
          <w:rFonts w:ascii="Times New Roman" w:eastAsia="Times New Roman" w:hAnsi="Times New Roman" w:cs="Times New Roman"/>
          <w:bCs/>
          <w:sz w:val="24"/>
          <w:szCs w:val="24"/>
        </w:rPr>
      </w:pPr>
      <w:r w:rsidRPr="00CA1DA9">
        <w:rPr>
          <w:rFonts w:ascii="Times New Roman" w:eastAsia="Times New Roman" w:hAnsi="Times New Roman" w:cs="Times New Roman"/>
          <w:bCs/>
          <w:sz w:val="24"/>
          <w:szCs w:val="24"/>
        </w:rPr>
        <w:t xml:space="preserve">Delcour, Laure </w:t>
      </w:r>
      <w:r>
        <w:rPr>
          <w:rFonts w:ascii="Times New Roman" w:eastAsia="Times New Roman" w:hAnsi="Times New Roman" w:cs="Times New Roman"/>
          <w:bCs/>
          <w:sz w:val="24"/>
          <w:szCs w:val="24"/>
        </w:rPr>
        <w:t>and</w:t>
      </w:r>
      <w:r w:rsidRPr="00CA1DA9">
        <w:rPr>
          <w:rFonts w:ascii="Times New Roman" w:eastAsia="Times New Roman" w:hAnsi="Times New Roman" w:cs="Times New Roman"/>
          <w:bCs/>
          <w:sz w:val="24"/>
          <w:szCs w:val="24"/>
        </w:rPr>
        <w:t xml:space="preserve"> Ghazaryan, Narine 2024. </w:t>
      </w:r>
      <w:r w:rsidRPr="00CA1DA9">
        <w:rPr>
          <w:rFonts w:ascii="Times New Roman" w:eastAsia="Times New Roman" w:hAnsi="Times New Roman" w:cs="Times New Roman"/>
          <w:bCs/>
          <w:i/>
          <w:iCs/>
          <w:sz w:val="24"/>
          <w:szCs w:val="24"/>
        </w:rPr>
        <w:t>The European Union and Armenia: Norms, Law and Geopolitics</w:t>
      </w:r>
      <w:r w:rsidRPr="00CA1DA9">
        <w:rPr>
          <w:rFonts w:ascii="Times New Roman" w:eastAsia="Times New Roman" w:hAnsi="Times New Roman" w:cs="Times New Roman"/>
          <w:bCs/>
          <w:sz w:val="24"/>
          <w:szCs w:val="24"/>
        </w:rPr>
        <w:t>. Palgrave Macmillan.</w:t>
      </w:r>
    </w:p>
    <w:p w14:paraId="12F5B99F"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Del Sarto, Raffaella A., and Tobias Schumacher. 2005. “From EMP to ENP: What’s at Stake with the European Neighbourhood Policy towards the Southern Mediterranean?” </w:t>
      </w:r>
      <w:r w:rsidRPr="000D78A5">
        <w:rPr>
          <w:rFonts w:ascii="Times New Roman" w:eastAsia="Times New Roman" w:hAnsi="Times New Roman" w:cs="Times New Roman"/>
          <w:bCs/>
          <w:i/>
          <w:iCs/>
          <w:sz w:val="24"/>
          <w:szCs w:val="24"/>
        </w:rPr>
        <w:t>European Foreign Affairs Review</w:t>
      </w:r>
      <w:r w:rsidRPr="000D78A5">
        <w:rPr>
          <w:rFonts w:ascii="Times New Roman" w:eastAsia="Times New Roman" w:hAnsi="Times New Roman" w:cs="Times New Roman"/>
          <w:bCs/>
          <w:sz w:val="24"/>
          <w:szCs w:val="24"/>
        </w:rPr>
        <w:t>.</w:t>
      </w:r>
    </w:p>
    <w:p w14:paraId="77DED3C3"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Delegation of the European Union to Armenia. 2022. </w:t>
      </w:r>
      <w:r w:rsidRPr="000D78A5">
        <w:rPr>
          <w:rFonts w:ascii="Times New Roman" w:eastAsia="Times New Roman" w:hAnsi="Times New Roman" w:cs="Times New Roman"/>
          <w:bCs/>
          <w:i/>
          <w:iCs/>
          <w:sz w:val="24"/>
          <w:szCs w:val="24"/>
        </w:rPr>
        <w:t>EU Roadmap for Engagement with Civil Society in Armenia 2021–2027</w:t>
      </w:r>
      <w:r w:rsidRPr="000D78A5">
        <w:rPr>
          <w:rFonts w:ascii="Times New Roman" w:eastAsia="Times New Roman" w:hAnsi="Times New Roman" w:cs="Times New Roman"/>
          <w:bCs/>
          <w:sz w:val="24"/>
          <w:szCs w:val="24"/>
        </w:rPr>
        <w:t>.</w:t>
      </w:r>
    </w:p>
    <w:p w14:paraId="3A6ED939" w14:textId="77777777" w:rsid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Diez, Thomas, and Michelle Pace. 2011. </w:t>
      </w:r>
      <w:r w:rsidRPr="000D78A5">
        <w:rPr>
          <w:rFonts w:ascii="Times New Roman" w:eastAsia="Times New Roman" w:hAnsi="Times New Roman" w:cs="Times New Roman"/>
          <w:bCs/>
          <w:i/>
          <w:iCs/>
          <w:sz w:val="24"/>
          <w:szCs w:val="24"/>
        </w:rPr>
        <w:t>Normative Power Europe and Conflict Transformation</w:t>
      </w:r>
      <w:r w:rsidRPr="000D78A5">
        <w:rPr>
          <w:rFonts w:ascii="Times New Roman" w:eastAsia="Times New Roman" w:hAnsi="Times New Roman" w:cs="Times New Roman"/>
          <w:bCs/>
          <w:sz w:val="24"/>
          <w:szCs w:val="24"/>
        </w:rPr>
        <w:t>. Basingstoke: Palgrave Macmillan.</w:t>
      </w:r>
    </w:p>
    <w:p w14:paraId="56697410" w14:textId="7D2D41F5" w:rsidR="00CA1DA9" w:rsidRPr="000D78A5" w:rsidRDefault="00CA1DA9" w:rsidP="000D78A5">
      <w:pPr>
        <w:jc w:val="both"/>
        <w:rPr>
          <w:rFonts w:ascii="Times New Roman" w:eastAsia="Times New Roman" w:hAnsi="Times New Roman" w:cs="Times New Roman"/>
          <w:bCs/>
          <w:sz w:val="24"/>
          <w:szCs w:val="24"/>
        </w:rPr>
      </w:pPr>
      <w:r w:rsidRPr="00CA1DA9">
        <w:rPr>
          <w:rFonts w:ascii="Times New Roman" w:eastAsia="Times New Roman" w:hAnsi="Times New Roman" w:cs="Times New Roman"/>
          <w:bCs/>
          <w:sz w:val="24"/>
          <w:szCs w:val="24"/>
        </w:rPr>
        <w:t xml:space="preserve">EDB (Eurasian Development Bank) (2023). </w:t>
      </w:r>
      <w:r w:rsidRPr="00CA1DA9">
        <w:rPr>
          <w:rFonts w:ascii="Times New Roman" w:eastAsia="Times New Roman" w:hAnsi="Times New Roman" w:cs="Times New Roman"/>
          <w:bCs/>
          <w:i/>
          <w:iCs/>
          <w:sz w:val="24"/>
          <w:szCs w:val="24"/>
        </w:rPr>
        <w:t>Macroeconomic Review: Armenia</w:t>
      </w:r>
      <w:r w:rsidRPr="00CA1DA9">
        <w:rPr>
          <w:rFonts w:ascii="Times New Roman" w:eastAsia="Times New Roman" w:hAnsi="Times New Roman" w:cs="Times New Roman"/>
          <w:bCs/>
          <w:sz w:val="24"/>
          <w:szCs w:val="24"/>
        </w:rPr>
        <w:t>.</w:t>
      </w:r>
    </w:p>
    <w:p w14:paraId="49904370"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EEAS (European Union External Action). 2020. </w:t>
      </w:r>
      <w:r w:rsidRPr="000D78A5">
        <w:rPr>
          <w:rFonts w:ascii="Times New Roman" w:eastAsia="Times New Roman" w:hAnsi="Times New Roman" w:cs="Times New Roman"/>
          <w:bCs/>
          <w:i/>
          <w:iCs/>
          <w:sz w:val="24"/>
          <w:szCs w:val="24"/>
        </w:rPr>
        <w:t>75 Years from the End of the Second World War on European Soil</w:t>
      </w:r>
      <w:r w:rsidRPr="000D78A5">
        <w:rPr>
          <w:rFonts w:ascii="Times New Roman" w:eastAsia="Times New Roman" w:hAnsi="Times New Roman" w:cs="Times New Roman"/>
          <w:bCs/>
          <w:sz w:val="24"/>
          <w:szCs w:val="24"/>
        </w:rPr>
        <w:t>.</w:t>
      </w:r>
    </w:p>
    <w:p w14:paraId="3E77F076"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EEAS (European Union External Action). 2024. </w:t>
      </w:r>
      <w:r w:rsidRPr="000D78A5">
        <w:rPr>
          <w:rFonts w:ascii="Times New Roman" w:eastAsia="Times New Roman" w:hAnsi="Times New Roman" w:cs="Times New Roman"/>
          <w:bCs/>
          <w:i/>
          <w:iCs/>
          <w:sz w:val="24"/>
          <w:szCs w:val="24"/>
        </w:rPr>
        <w:t>Resilience and Growth Plan for Armenia for 2024–2027</w:t>
      </w:r>
      <w:r w:rsidRPr="000D78A5">
        <w:rPr>
          <w:rFonts w:ascii="Times New Roman" w:eastAsia="Times New Roman" w:hAnsi="Times New Roman" w:cs="Times New Roman"/>
          <w:bCs/>
          <w:sz w:val="24"/>
          <w:szCs w:val="24"/>
        </w:rPr>
        <w:t>.</w:t>
      </w:r>
    </w:p>
    <w:p w14:paraId="1A50B15E"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ENP (European Neighbourhood Policy). 2011. </w:t>
      </w:r>
      <w:r w:rsidRPr="000D78A5">
        <w:rPr>
          <w:rFonts w:ascii="Times New Roman" w:eastAsia="Times New Roman" w:hAnsi="Times New Roman" w:cs="Times New Roman"/>
          <w:bCs/>
          <w:i/>
          <w:iCs/>
          <w:sz w:val="24"/>
          <w:szCs w:val="24"/>
        </w:rPr>
        <w:t>Action Fiche for Armenia AAP</w:t>
      </w:r>
      <w:r w:rsidRPr="000D78A5">
        <w:rPr>
          <w:rFonts w:ascii="Times New Roman" w:eastAsia="Times New Roman" w:hAnsi="Times New Roman" w:cs="Times New Roman"/>
          <w:bCs/>
          <w:sz w:val="24"/>
          <w:szCs w:val="24"/>
        </w:rPr>
        <w:t>.</w:t>
      </w:r>
    </w:p>
    <w:p w14:paraId="24B1161A"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ENP (European Neighbourhood Policy). 2015. </w:t>
      </w:r>
      <w:r w:rsidRPr="000D78A5">
        <w:rPr>
          <w:rFonts w:ascii="Times New Roman" w:eastAsia="Times New Roman" w:hAnsi="Times New Roman" w:cs="Times New Roman"/>
          <w:bCs/>
          <w:i/>
          <w:iCs/>
          <w:sz w:val="24"/>
          <w:szCs w:val="24"/>
        </w:rPr>
        <w:t>European Neighbourhood Policy Review</w:t>
      </w:r>
      <w:r w:rsidRPr="000D78A5">
        <w:rPr>
          <w:rFonts w:ascii="Times New Roman" w:eastAsia="Times New Roman" w:hAnsi="Times New Roman" w:cs="Times New Roman"/>
          <w:bCs/>
          <w:sz w:val="24"/>
          <w:szCs w:val="24"/>
        </w:rPr>
        <w:t>.</w:t>
      </w:r>
    </w:p>
    <w:p w14:paraId="38A9AAB4"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ENP (European Neighbourhood Policy). 2022. </w:t>
      </w:r>
      <w:r w:rsidRPr="000D78A5">
        <w:rPr>
          <w:rFonts w:ascii="Times New Roman" w:eastAsia="Times New Roman" w:hAnsi="Times New Roman" w:cs="Times New Roman"/>
          <w:bCs/>
          <w:i/>
          <w:iCs/>
          <w:sz w:val="24"/>
          <w:szCs w:val="24"/>
        </w:rPr>
        <w:t>Partnership Implementation Report on Armenia</w:t>
      </w:r>
      <w:r w:rsidRPr="000D78A5">
        <w:rPr>
          <w:rFonts w:ascii="Times New Roman" w:eastAsia="Times New Roman" w:hAnsi="Times New Roman" w:cs="Times New Roman"/>
          <w:bCs/>
          <w:sz w:val="24"/>
          <w:szCs w:val="24"/>
        </w:rPr>
        <w:t>.</w:t>
      </w:r>
    </w:p>
    <w:p w14:paraId="60068B43"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European Commission. 2017. </w:t>
      </w:r>
      <w:r w:rsidRPr="000D78A5">
        <w:rPr>
          <w:rFonts w:ascii="Times New Roman" w:eastAsia="Times New Roman" w:hAnsi="Times New Roman" w:cs="Times New Roman"/>
          <w:bCs/>
          <w:i/>
          <w:iCs/>
          <w:sz w:val="24"/>
          <w:szCs w:val="24"/>
        </w:rPr>
        <w:t>Council Decision on the Conclusion of the Comprehensive and Enhanced Partnership Agreement with the Republic of Armenia</w:t>
      </w:r>
      <w:r w:rsidRPr="000D78A5">
        <w:rPr>
          <w:rFonts w:ascii="Times New Roman" w:eastAsia="Times New Roman" w:hAnsi="Times New Roman" w:cs="Times New Roman"/>
          <w:bCs/>
          <w:sz w:val="24"/>
          <w:szCs w:val="24"/>
        </w:rPr>
        <w:t>.</w:t>
      </w:r>
    </w:p>
    <w:p w14:paraId="76197B4E" w14:textId="77777777" w:rsid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European Commission. 2019. </w:t>
      </w:r>
      <w:r w:rsidRPr="000D78A5">
        <w:rPr>
          <w:rFonts w:ascii="Times New Roman" w:eastAsia="Times New Roman" w:hAnsi="Times New Roman" w:cs="Times New Roman"/>
          <w:bCs/>
          <w:i/>
          <w:iCs/>
          <w:sz w:val="24"/>
          <w:szCs w:val="24"/>
        </w:rPr>
        <w:t>Partnership Implementation Report on Armenia (Joint Staff Working Document)</w:t>
      </w:r>
      <w:r w:rsidRPr="000D78A5">
        <w:rPr>
          <w:rFonts w:ascii="Times New Roman" w:eastAsia="Times New Roman" w:hAnsi="Times New Roman" w:cs="Times New Roman"/>
          <w:bCs/>
          <w:sz w:val="24"/>
          <w:szCs w:val="24"/>
        </w:rPr>
        <w:t>.</w:t>
      </w:r>
    </w:p>
    <w:p w14:paraId="675E058B" w14:textId="1E2419E1" w:rsidR="00CA1DA9" w:rsidRPr="000D78A5" w:rsidRDefault="00CA1DA9" w:rsidP="000D78A5">
      <w:pPr>
        <w:jc w:val="both"/>
        <w:rPr>
          <w:rFonts w:ascii="Times New Roman" w:eastAsia="Times New Roman" w:hAnsi="Times New Roman" w:cs="Times New Roman"/>
          <w:bCs/>
          <w:sz w:val="24"/>
          <w:szCs w:val="24"/>
        </w:rPr>
      </w:pPr>
      <w:r w:rsidRPr="00CA1DA9">
        <w:rPr>
          <w:rFonts w:ascii="Times New Roman" w:eastAsia="Times New Roman" w:hAnsi="Times New Roman" w:cs="Times New Roman"/>
          <w:bCs/>
          <w:sz w:val="24"/>
          <w:szCs w:val="24"/>
        </w:rPr>
        <w:t xml:space="preserve">European Commission – DG NEAR (2021). </w:t>
      </w:r>
      <w:r w:rsidRPr="00CA1DA9">
        <w:rPr>
          <w:rFonts w:ascii="Times New Roman" w:eastAsia="Times New Roman" w:hAnsi="Times New Roman" w:cs="Times New Roman"/>
          <w:bCs/>
          <w:i/>
          <w:iCs/>
          <w:sz w:val="24"/>
          <w:szCs w:val="24"/>
        </w:rPr>
        <w:t>Recovery, Resilience and Reform: Post-2020 Eastern Partnership Priorities</w:t>
      </w:r>
      <w:r w:rsidRPr="00CA1DA9">
        <w:rPr>
          <w:rFonts w:ascii="Times New Roman" w:eastAsia="Times New Roman" w:hAnsi="Times New Roman" w:cs="Times New Roman"/>
          <w:bCs/>
          <w:sz w:val="24"/>
          <w:szCs w:val="24"/>
        </w:rPr>
        <w:t>. Staff Working Document.</w:t>
      </w:r>
    </w:p>
    <w:p w14:paraId="67DF92C8"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European Commission. 2021. </w:t>
      </w:r>
      <w:r w:rsidRPr="000D78A5">
        <w:rPr>
          <w:rFonts w:ascii="Times New Roman" w:eastAsia="Times New Roman" w:hAnsi="Times New Roman" w:cs="Times New Roman"/>
          <w:bCs/>
          <w:i/>
          <w:iCs/>
          <w:sz w:val="24"/>
          <w:szCs w:val="24"/>
        </w:rPr>
        <w:t>Commission Implementing Decision Amending Annual Action Programme for Armenia 2019</w:t>
      </w:r>
      <w:r w:rsidRPr="000D78A5">
        <w:rPr>
          <w:rFonts w:ascii="Times New Roman" w:eastAsia="Times New Roman" w:hAnsi="Times New Roman" w:cs="Times New Roman"/>
          <w:bCs/>
          <w:sz w:val="24"/>
          <w:szCs w:val="24"/>
        </w:rPr>
        <w:t>.</w:t>
      </w:r>
    </w:p>
    <w:p w14:paraId="070EFCCB"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European Commission. 2021. </w:t>
      </w:r>
      <w:r w:rsidRPr="000D78A5">
        <w:rPr>
          <w:rFonts w:ascii="Times New Roman" w:eastAsia="Times New Roman" w:hAnsi="Times New Roman" w:cs="Times New Roman"/>
          <w:bCs/>
          <w:i/>
          <w:iCs/>
          <w:sz w:val="24"/>
          <w:szCs w:val="24"/>
        </w:rPr>
        <w:t>Annual Action Plan 2021: Action Document for EU for Resilient and Accountable Institutions–Police and Migration Reform and Human Rights Protection in Armenia</w:t>
      </w:r>
      <w:r w:rsidRPr="000D78A5">
        <w:rPr>
          <w:rFonts w:ascii="Times New Roman" w:eastAsia="Times New Roman" w:hAnsi="Times New Roman" w:cs="Times New Roman"/>
          <w:bCs/>
          <w:sz w:val="24"/>
          <w:szCs w:val="24"/>
        </w:rPr>
        <w:t>.</w:t>
      </w:r>
    </w:p>
    <w:p w14:paraId="20525C87" w14:textId="77777777" w:rsidR="00CA1DA9"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EU Neighbours East. 2021. “Key Figures on EU Assistance to Armenia.” </w:t>
      </w:r>
      <w:hyperlink r:id="rId8" w:tgtFrame="_new" w:history="1">
        <w:r w:rsidRPr="000D78A5">
          <w:rPr>
            <w:rStyle w:val="Collegamentoipertestuale"/>
            <w:rFonts w:ascii="Times New Roman" w:eastAsia="Times New Roman" w:hAnsi="Times New Roman" w:cs="Times New Roman"/>
            <w:bCs/>
            <w:color w:val="auto"/>
            <w:sz w:val="24"/>
            <w:szCs w:val="24"/>
          </w:rPr>
          <w:t>https://euneighbourseast.eu/wp-content/uploads/2021/07/key_figuers_on_eu_assistance_to_armenia.pdf</w:t>
        </w:r>
      </w:hyperlink>
      <w:r w:rsidRPr="000D78A5">
        <w:rPr>
          <w:rFonts w:ascii="Times New Roman" w:eastAsia="Times New Roman" w:hAnsi="Times New Roman" w:cs="Times New Roman"/>
          <w:bCs/>
          <w:sz w:val="24"/>
          <w:szCs w:val="24"/>
        </w:rPr>
        <w:t>.</w:t>
      </w:r>
    </w:p>
    <w:p w14:paraId="77ABDF5E" w14:textId="1D5B4DE0" w:rsidR="00CA1DA9" w:rsidRDefault="00CA1DA9" w:rsidP="000D78A5">
      <w:pPr>
        <w:jc w:val="both"/>
        <w:rPr>
          <w:rFonts w:ascii="Times New Roman" w:eastAsia="Times New Roman" w:hAnsi="Times New Roman" w:cs="Times New Roman"/>
          <w:bCs/>
          <w:sz w:val="24"/>
          <w:szCs w:val="24"/>
        </w:rPr>
      </w:pPr>
      <w:r w:rsidRPr="00CA1DA9">
        <w:rPr>
          <w:rFonts w:ascii="Times New Roman" w:eastAsia="Times New Roman" w:hAnsi="Times New Roman" w:cs="Times New Roman"/>
          <w:bCs/>
          <w:sz w:val="24"/>
          <w:szCs w:val="24"/>
        </w:rPr>
        <w:t xml:space="preserve">EU Neighbourhood &amp; Enlargement (2021). </w:t>
      </w:r>
      <w:r w:rsidRPr="00CA1DA9">
        <w:rPr>
          <w:rFonts w:ascii="Times New Roman" w:eastAsia="Times New Roman" w:hAnsi="Times New Roman" w:cs="Times New Roman"/>
          <w:bCs/>
          <w:i/>
          <w:iCs/>
          <w:sz w:val="24"/>
          <w:szCs w:val="24"/>
        </w:rPr>
        <w:t>EU–Armenia Comprehensive and Enhanced Partnership Agreement: Institutional Framework Overview</w:t>
      </w:r>
      <w:r w:rsidRPr="00CA1DA9">
        <w:rPr>
          <w:rFonts w:ascii="Times New Roman" w:eastAsia="Times New Roman" w:hAnsi="Times New Roman" w:cs="Times New Roman"/>
          <w:bCs/>
          <w:sz w:val="24"/>
          <w:szCs w:val="24"/>
        </w:rPr>
        <w:t>.</w:t>
      </w:r>
    </w:p>
    <w:p w14:paraId="7F96B676" w14:textId="0109FFED" w:rsid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lastRenderedPageBreak/>
        <w:t>Fortna, Virginia Page, and Reyko Huang. 2012. “Democratization after Civil War: A Brush-Clearing Exercise.” Oxford: Oxford University Press.</w:t>
      </w:r>
    </w:p>
    <w:p w14:paraId="579B418E" w14:textId="77777777" w:rsidR="00216BB2" w:rsidRDefault="00CA1DA9" w:rsidP="000D78A5">
      <w:pPr>
        <w:jc w:val="both"/>
        <w:rPr>
          <w:rFonts w:ascii="Times New Roman" w:eastAsia="Times New Roman" w:hAnsi="Times New Roman" w:cs="Times New Roman"/>
          <w:bCs/>
          <w:sz w:val="24"/>
          <w:szCs w:val="24"/>
        </w:rPr>
      </w:pPr>
      <w:r w:rsidRPr="00CA1DA9">
        <w:rPr>
          <w:rFonts w:ascii="Times New Roman" w:eastAsia="Times New Roman" w:hAnsi="Times New Roman" w:cs="Times New Roman"/>
          <w:bCs/>
          <w:sz w:val="24"/>
          <w:szCs w:val="24"/>
        </w:rPr>
        <w:t xml:space="preserve">Freedom House (various years). </w:t>
      </w:r>
      <w:r w:rsidRPr="00CA1DA9">
        <w:rPr>
          <w:rFonts w:ascii="Times New Roman" w:eastAsia="Times New Roman" w:hAnsi="Times New Roman" w:cs="Times New Roman"/>
          <w:bCs/>
          <w:i/>
          <w:iCs/>
          <w:sz w:val="24"/>
          <w:szCs w:val="24"/>
        </w:rPr>
        <w:t>Freedom in the World: Armenia Country Report</w:t>
      </w:r>
      <w:r w:rsidRPr="00CA1DA9">
        <w:rPr>
          <w:rFonts w:ascii="Times New Roman" w:eastAsia="Times New Roman" w:hAnsi="Times New Roman" w:cs="Times New Roman"/>
          <w:bCs/>
          <w:sz w:val="24"/>
          <w:szCs w:val="24"/>
        </w:rPr>
        <w:t>.</w:t>
      </w:r>
    </w:p>
    <w:p w14:paraId="53E2C979" w14:textId="7417FEEA" w:rsid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Ghazaryan, Narine. 2023. “The EU and the Nagorno-Karabakh Conflict: The Forty-Four-Day War and Its Aftermath.” </w:t>
      </w:r>
      <w:r w:rsidRPr="000D78A5">
        <w:rPr>
          <w:rFonts w:ascii="Times New Roman" w:eastAsia="Times New Roman" w:hAnsi="Times New Roman" w:cs="Times New Roman"/>
          <w:bCs/>
          <w:i/>
          <w:iCs/>
          <w:sz w:val="24"/>
          <w:szCs w:val="24"/>
        </w:rPr>
        <w:t>European Foreign Affairs Review</w:t>
      </w:r>
      <w:r w:rsidRPr="000D78A5">
        <w:rPr>
          <w:rFonts w:ascii="Times New Roman" w:eastAsia="Times New Roman" w:hAnsi="Times New Roman" w:cs="Times New Roman"/>
          <w:bCs/>
          <w:sz w:val="24"/>
          <w:szCs w:val="24"/>
        </w:rPr>
        <w:t xml:space="preserve"> 28.</w:t>
      </w:r>
    </w:p>
    <w:p w14:paraId="63C6E523" w14:textId="047230EC" w:rsidR="00CA1DA9" w:rsidRPr="000D78A5" w:rsidRDefault="00CA1DA9" w:rsidP="000D78A5">
      <w:pPr>
        <w:jc w:val="both"/>
        <w:rPr>
          <w:rFonts w:ascii="Times New Roman" w:eastAsia="Times New Roman" w:hAnsi="Times New Roman" w:cs="Times New Roman"/>
          <w:bCs/>
          <w:sz w:val="24"/>
          <w:szCs w:val="24"/>
        </w:rPr>
      </w:pPr>
      <w:r w:rsidRPr="00CA1DA9">
        <w:rPr>
          <w:rFonts w:ascii="Times New Roman" w:eastAsia="Times New Roman" w:hAnsi="Times New Roman" w:cs="Times New Roman"/>
          <w:bCs/>
          <w:sz w:val="24"/>
          <w:szCs w:val="24"/>
        </w:rPr>
        <w:t xml:space="preserve">Gibler, Douglas M. 2007. “Bordering on Peace: Democracy, Territorial Issues, and Conflict.” </w:t>
      </w:r>
      <w:r w:rsidRPr="00CA1DA9">
        <w:rPr>
          <w:rFonts w:ascii="Times New Roman" w:eastAsia="Times New Roman" w:hAnsi="Times New Roman" w:cs="Times New Roman"/>
          <w:bCs/>
          <w:i/>
          <w:iCs/>
          <w:sz w:val="24"/>
          <w:szCs w:val="24"/>
        </w:rPr>
        <w:t>International Studies Quarterly</w:t>
      </w:r>
      <w:r w:rsidRPr="00CA1DA9">
        <w:rPr>
          <w:rFonts w:ascii="Times New Roman" w:eastAsia="Times New Roman" w:hAnsi="Times New Roman" w:cs="Times New Roman"/>
          <w:bCs/>
          <w:sz w:val="24"/>
          <w:szCs w:val="24"/>
        </w:rPr>
        <w:t>, 51(3): 509–532.</w:t>
      </w:r>
    </w:p>
    <w:p w14:paraId="3E58037E" w14:textId="77777777" w:rsid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Gibler, Douglas M. 2012. </w:t>
      </w:r>
      <w:r w:rsidRPr="000D78A5">
        <w:rPr>
          <w:rFonts w:ascii="Times New Roman" w:eastAsia="Times New Roman" w:hAnsi="Times New Roman" w:cs="Times New Roman"/>
          <w:bCs/>
          <w:i/>
          <w:iCs/>
          <w:sz w:val="24"/>
          <w:szCs w:val="24"/>
        </w:rPr>
        <w:t>The Territorial Peace: Borders, State Development, and International Conflict</w:t>
      </w:r>
      <w:r w:rsidRPr="000D78A5">
        <w:rPr>
          <w:rFonts w:ascii="Times New Roman" w:eastAsia="Times New Roman" w:hAnsi="Times New Roman" w:cs="Times New Roman"/>
          <w:bCs/>
          <w:sz w:val="24"/>
          <w:szCs w:val="24"/>
        </w:rPr>
        <w:t>. Cambridge: Cambridge University Press.</w:t>
      </w:r>
    </w:p>
    <w:p w14:paraId="40530566" w14:textId="2BCB7380" w:rsidR="00CA1DA9" w:rsidRDefault="00CA1DA9" w:rsidP="000D78A5">
      <w:pPr>
        <w:jc w:val="both"/>
        <w:rPr>
          <w:rFonts w:ascii="Times New Roman" w:eastAsia="Times New Roman" w:hAnsi="Times New Roman" w:cs="Times New Roman"/>
          <w:bCs/>
          <w:sz w:val="24"/>
          <w:szCs w:val="24"/>
        </w:rPr>
      </w:pPr>
      <w:r w:rsidRPr="00CA1DA9">
        <w:rPr>
          <w:rFonts w:ascii="Times New Roman" w:eastAsia="Times New Roman" w:hAnsi="Times New Roman" w:cs="Times New Roman"/>
          <w:bCs/>
          <w:sz w:val="24"/>
          <w:szCs w:val="24"/>
        </w:rPr>
        <w:t>Gibler, Douglas M., &amp; Tir, Jaroslav</w:t>
      </w:r>
      <w:r>
        <w:rPr>
          <w:rFonts w:ascii="Times New Roman" w:eastAsia="Times New Roman" w:hAnsi="Times New Roman" w:cs="Times New Roman"/>
          <w:bCs/>
          <w:sz w:val="24"/>
          <w:szCs w:val="24"/>
        </w:rPr>
        <w:t>.</w:t>
      </w:r>
      <w:r w:rsidRPr="00CA1DA9">
        <w:rPr>
          <w:rFonts w:ascii="Times New Roman" w:eastAsia="Times New Roman" w:hAnsi="Times New Roman" w:cs="Times New Roman"/>
          <w:bCs/>
          <w:sz w:val="24"/>
          <w:szCs w:val="24"/>
        </w:rPr>
        <w:t xml:space="preserve"> 2010. “Settled Borders and Regime Type: Democratic Transitions as Consequences of Peace.” </w:t>
      </w:r>
      <w:r w:rsidRPr="00CA1DA9">
        <w:rPr>
          <w:rFonts w:ascii="Times New Roman" w:eastAsia="Times New Roman" w:hAnsi="Times New Roman" w:cs="Times New Roman"/>
          <w:bCs/>
          <w:i/>
          <w:iCs/>
          <w:sz w:val="24"/>
          <w:szCs w:val="24"/>
        </w:rPr>
        <w:t>American Journal of Political Science</w:t>
      </w:r>
      <w:r w:rsidRPr="00CA1DA9">
        <w:rPr>
          <w:rFonts w:ascii="Times New Roman" w:eastAsia="Times New Roman" w:hAnsi="Times New Roman" w:cs="Times New Roman"/>
          <w:bCs/>
          <w:sz w:val="24"/>
          <w:szCs w:val="24"/>
        </w:rPr>
        <w:t>, 54(4): 951–968.</w:t>
      </w:r>
    </w:p>
    <w:p w14:paraId="01688919" w14:textId="371ABDF5" w:rsidR="00CA1DA9" w:rsidRPr="000D78A5" w:rsidRDefault="00CA1DA9" w:rsidP="000D78A5">
      <w:pPr>
        <w:jc w:val="both"/>
        <w:rPr>
          <w:rFonts w:ascii="Times New Roman" w:eastAsia="Times New Roman" w:hAnsi="Times New Roman" w:cs="Times New Roman"/>
          <w:bCs/>
          <w:sz w:val="24"/>
          <w:szCs w:val="24"/>
        </w:rPr>
      </w:pPr>
      <w:r w:rsidRPr="00CA1DA9">
        <w:rPr>
          <w:rFonts w:ascii="Times New Roman" w:eastAsia="Times New Roman" w:hAnsi="Times New Roman" w:cs="Times New Roman"/>
          <w:bCs/>
          <w:sz w:val="24"/>
          <w:szCs w:val="24"/>
        </w:rPr>
        <w:t>Gibler, Douglas M., &amp; Tir, Jaroslav</w:t>
      </w:r>
      <w:r>
        <w:rPr>
          <w:rFonts w:ascii="Times New Roman" w:eastAsia="Times New Roman" w:hAnsi="Times New Roman" w:cs="Times New Roman"/>
          <w:bCs/>
          <w:sz w:val="24"/>
          <w:szCs w:val="24"/>
        </w:rPr>
        <w:t>.</w:t>
      </w:r>
      <w:r w:rsidRPr="00CA1DA9">
        <w:rPr>
          <w:rFonts w:ascii="Times New Roman" w:eastAsia="Times New Roman" w:hAnsi="Times New Roman" w:cs="Times New Roman"/>
          <w:bCs/>
          <w:sz w:val="24"/>
          <w:szCs w:val="24"/>
        </w:rPr>
        <w:t xml:space="preserve"> 2014. “Territorial Peace and Democratic Clustering.” </w:t>
      </w:r>
      <w:r w:rsidRPr="00CA1DA9">
        <w:rPr>
          <w:rFonts w:ascii="Times New Roman" w:eastAsia="Times New Roman" w:hAnsi="Times New Roman" w:cs="Times New Roman"/>
          <w:bCs/>
          <w:i/>
          <w:iCs/>
          <w:sz w:val="24"/>
          <w:szCs w:val="24"/>
        </w:rPr>
        <w:t>The Journal of Politics</w:t>
      </w:r>
      <w:r w:rsidRPr="00CA1DA9">
        <w:rPr>
          <w:rFonts w:ascii="Times New Roman" w:eastAsia="Times New Roman" w:hAnsi="Times New Roman" w:cs="Times New Roman"/>
          <w:bCs/>
          <w:sz w:val="24"/>
          <w:szCs w:val="24"/>
        </w:rPr>
        <w:t>, 76(1): 27–40.</w:t>
      </w:r>
    </w:p>
    <w:p w14:paraId="79C4B8C0" w14:textId="164DB0CD"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Ginsburg, Tom, and Aziz Z. Huq. 2018. </w:t>
      </w:r>
      <w:r w:rsidRPr="000D78A5">
        <w:rPr>
          <w:rFonts w:ascii="Times New Roman" w:eastAsia="Times New Roman" w:hAnsi="Times New Roman" w:cs="Times New Roman"/>
          <w:bCs/>
          <w:i/>
          <w:iCs/>
          <w:sz w:val="24"/>
          <w:szCs w:val="24"/>
        </w:rPr>
        <w:t>How to Save a Constitutional Democracy</w:t>
      </w:r>
      <w:r w:rsidRPr="000D78A5">
        <w:rPr>
          <w:rFonts w:ascii="Times New Roman" w:eastAsia="Times New Roman" w:hAnsi="Times New Roman" w:cs="Times New Roman"/>
          <w:bCs/>
          <w:sz w:val="24"/>
          <w:szCs w:val="24"/>
        </w:rPr>
        <w:t>. Chicago: University of Chicago Press.</w:t>
      </w:r>
    </w:p>
    <w:p w14:paraId="579EAD1C"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Grigoryan, Armen. 2019. “Armenia’s Path to Democratization by Recursive Mass Protests.” </w:t>
      </w:r>
      <w:r w:rsidRPr="000D78A5">
        <w:rPr>
          <w:rFonts w:ascii="Times New Roman" w:eastAsia="Times New Roman" w:hAnsi="Times New Roman" w:cs="Times New Roman"/>
          <w:bCs/>
          <w:i/>
          <w:iCs/>
          <w:sz w:val="24"/>
          <w:szCs w:val="24"/>
        </w:rPr>
        <w:t>Caucasus Survey</w:t>
      </w:r>
      <w:r w:rsidRPr="000D78A5">
        <w:rPr>
          <w:rFonts w:ascii="Times New Roman" w:eastAsia="Times New Roman" w:hAnsi="Times New Roman" w:cs="Times New Roman"/>
          <w:bCs/>
          <w:sz w:val="24"/>
          <w:szCs w:val="24"/>
        </w:rPr>
        <w:t>.</w:t>
      </w:r>
    </w:p>
    <w:p w14:paraId="7D63E6E1" w14:textId="3EEA30EA" w:rsid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Grigoryan, Artyom. 2022. “Armenia’s Foreign Policy after the Second Karabakh War.” </w:t>
      </w:r>
      <w:r w:rsidRPr="000D78A5">
        <w:rPr>
          <w:rFonts w:ascii="Times New Roman" w:eastAsia="Times New Roman" w:hAnsi="Times New Roman" w:cs="Times New Roman"/>
          <w:bCs/>
          <w:i/>
          <w:iCs/>
          <w:sz w:val="24"/>
          <w:szCs w:val="24"/>
        </w:rPr>
        <w:t>Caucasus Survey</w:t>
      </w:r>
      <w:r w:rsidRPr="000D78A5">
        <w:rPr>
          <w:rFonts w:ascii="Times New Roman" w:eastAsia="Times New Roman" w:hAnsi="Times New Roman" w:cs="Times New Roman"/>
          <w:bCs/>
          <w:sz w:val="24"/>
          <w:szCs w:val="24"/>
        </w:rPr>
        <w:t xml:space="preserve"> 10 (1): 35–50.</w:t>
      </w:r>
    </w:p>
    <w:p w14:paraId="6356BDEA" w14:textId="396355C1" w:rsidR="00CA1DA9" w:rsidRPr="000D78A5" w:rsidRDefault="00CA1DA9" w:rsidP="000D78A5">
      <w:pPr>
        <w:jc w:val="both"/>
        <w:rPr>
          <w:rFonts w:ascii="Times New Roman" w:eastAsia="Times New Roman" w:hAnsi="Times New Roman" w:cs="Times New Roman"/>
          <w:bCs/>
          <w:sz w:val="24"/>
          <w:szCs w:val="24"/>
        </w:rPr>
      </w:pPr>
      <w:r w:rsidRPr="00CA1DA9">
        <w:rPr>
          <w:rFonts w:ascii="Times New Roman" w:eastAsia="Times New Roman" w:hAnsi="Times New Roman" w:cs="Times New Roman"/>
          <w:bCs/>
          <w:sz w:val="24"/>
          <w:szCs w:val="24"/>
        </w:rPr>
        <w:t>Grigoryan, Artyom</w:t>
      </w:r>
      <w:r>
        <w:rPr>
          <w:rFonts w:ascii="Times New Roman" w:eastAsia="Times New Roman" w:hAnsi="Times New Roman" w:cs="Times New Roman"/>
          <w:bCs/>
          <w:sz w:val="24"/>
          <w:szCs w:val="24"/>
        </w:rPr>
        <w:t>.</w:t>
      </w:r>
      <w:r w:rsidRPr="00CA1DA9">
        <w:rPr>
          <w:rFonts w:ascii="Times New Roman" w:eastAsia="Times New Roman" w:hAnsi="Times New Roman" w:cs="Times New Roman"/>
          <w:bCs/>
          <w:sz w:val="24"/>
          <w:szCs w:val="24"/>
        </w:rPr>
        <w:t xml:space="preserve"> 2022. “Post-Velvet Politics in Armenia: Civil Society and Governance.” </w:t>
      </w:r>
      <w:r w:rsidRPr="00CA1DA9">
        <w:rPr>
          <w:rFonts w:ascii="Times New Roman" w:eastAsia="Times New Roman" w:hAnsi="Times New Roman" w:cs="Times New Roman"/>
          <w:bCs/>
          <w:i/>
          <w:iCs/>
          <w:sz w:val="24"/>
          <w:szCs w:val="24"/>
        </w:rPr>
        <w:t>Caucasus Analytical Digest</w:t>
      </w:r>
      <w:r w:rsidRPr="00CA1DA9">
        <w:rPr>
          <w:rFonts w:ascii="Times New Roman" w:eastAsia="Times New Roman" w:hAnsi="Times New Roman" w:cs="Times New Roman"/>
          <w:bCs/>
          <w:sz w:val="24"/>
          <w:szCs w:val="24"/>
        </w:rPr>
        <w:t>, 127.</w:t>
      </w:r>
    </w:p>
    <w:p w14:paraId="7C9D5286"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Hale, Henry E. 2015. </w:t>
      </w:r>
      <w:r w:rsidRPr="000D78A5">
        <w:rPr>
          <w:rFonts w:ascii="Times New Roman" w:eastAsia="Times New Roman" w:hAnsi="Times New Roman" w:cs="Times New Roman"/>
          <w:bCs/>
          <w:i/>
          <w:iCs/>
          <w:sz w:val="24"/>
          <w:szCs w:val="24"/>
        </w:rPr>
        <w:t>Patronal Politics: Eurasian Regime Dynamics in Comparative Perspective</w:t>
      </w:r>
      <w:r w:rsidRPr="000D78A5">
        <w:rPr>
          <w:rFonts w:ascii="Times New Roman" w:eastAsia="Times New Roman" w:hAnsi="Times New Roman" w:cs="Times New Roman"/>
          <w:bCs/>
          <w:sz w:val="24"/>
          <w:szCs w:val="24"/>
        </w:rPr>
        <w:t>. Cambridge: Cambridge University Press.</w:t>
      </w:r>
    </w:p>
    <w:p w14:paraId="3A73EA92"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Ishkanian, Armine. 2008. </w:t>
      </w:r>
      <w:r w:rsidRPr="000D78A5">
        <w:rPr>
          <w:rFonts w:ascii="Times New Roman" w:eastAsia="Times New Roman" w:hAnsi="Times New Roman" w:cs="Times New Roman"/>
          <w:bCs/>
          <w:i/>
          <w:iCs/>
          <w:sz w:val="24"/>
          <w:szCs w:val="24"/>
        </w:rPr>
        <w:t>Democracy Building and Civil Society in Post-Soviet Armenia</w:t>
      </w:r>
      <w:r w:rsidRPr="000D78A5">
        <w:rPr>
          <w:rFonts w:ascii="Times New Roman" w:eastAsia="Times New Roman" w:hAnsi="Times New Roman" w:cs="Times New Roman"/>
          <w:bCs/>
          <w:sz w:val="24"/>
          <w:szCs w:val="24"/>
        </w:rPr>
        <w:t>. London: Routledge.</w:t>
      </w:r>
    </w:p>
    <w:p w14:paraId="0BFAC1AD"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Ishkanian, Armine. 2014. “Engineers of a Better World: NGOs and the Crafting of Civil Society in Armenia.” In </w:t>
      </w:r>
      <w:r w:rsidRPr="000D78A5">
        <w:rPr>
          <w:rFonts w:ascii="Times New Roman" w:eastAsia="Times New Roman" w:hAnsi="Times New Roman" w:cs="Times New Roman"/>
          <w:bCs/>
          <w:i/>
          <w:iCs/>
          <w:sz w:val="24"/>
          <w:szCs w:val="24"/>
        </w:rPr>
        <w:t>The Civil Society Reader</w:t>
      </w:r>
      <w:r w:rsidRPr="000D78A5">
        <w:rPr>
          <w:rFonts w:ascii="Times New Roman" w:eastAsia="Times New Roman" w:hAnsi="Times New Roman" w:cs="Times New Roman"/>
          <w:bCs/>
          <w:sz w:val="24"/>
          <w:szCs w:val="24"/>
        </w:rPr>
        <w:t>. New York: Berghahn Books.</w:t>
      </w:r>
    </w:p>
    <w:p w14:paraId="2DE4CD22"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Ishkanian, Armine. 2021. “Civil Society and Democracy in Armenia after the Velvet Revolution.” </w:t>
      </w:r>
      <w:r w:rsidRPr="000D78A5">
        <w:rPr>
          <w:rFonts w:ascii="Times New Roman" w:eastAsia="Times New Roman" w:hAnsi="Times New Roman" w:cs="Times New Roman"/>
          <w:bCs/>
          <w:i/>
          <w:iCs/>
          <w:sz w:val="24"/>
          <w:szCs w:val="24"/>
        </w:rPr>
        <w:t>Caucasus Survey</w:t>
      </w:r>
      <w:r w:rsidRPr="000D78A5">
        <w:rPr>
          <w:rFonts w:ascii="Times New Roman" w:eastAsia="Times New Roman" w:hAnsi="Times New Roman" w:cs="Times New Roman"/>
          <w:bCs/>
          <w:sz w:val="24"/>
          <w:szCs w:val="24"/>
        </w:rPr>
        <w:t xml:space="preserve"> 9 (2): 158–173.</w:t>
      </w:r>
    </w:p>
    <w:p w14:paraId="3D9E6F89"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Iskandaryan, Alexander. 2013. “Post-Soviet Political Settlements and Nagorno-Karabakh: The Logic of Political Survival in Armenia.” </w:t>
      </w:r>
      <w:r w:rsidRPr="000D78A5">
        <w:rPr>
          <w:rFonts w:ascii="Times New Roman" w:eastAsia="Times New Roman" w:hAnsi="Times New Roman" w:cs="Times New Roman"/>
          <w:bCs/>
          <w:i/>
          <w:iCs/>
          <w:sz w:val="24"/>
          <w:szCs w:val="24"/>
        </w:rPr>
        <w:t>Caucasus Analytical Digest</w:t>
      </w:r>
      <w:r w:rsidRPr="000D78A5">
        <w:rPr>
          <w:rFonts w:ascii="Times New Roman" w:eastAsia="Times New Roman" w:hAnsi="Times New Roman" w:cs="Times New Roman"/>
          <w:bCs/>
          <w:sz w:val="24"/>
          <w:szCs w:val="24"/>
        </w:rPr>
        <w:t xml:space="preserve"> 49.</w:t>
      </w:r>
    </w:p>
    <w:p w14:paraId="0229C0FA"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Kalustian, Michael. 2024. “The Unstoppable Dram: Analysis of the World’s Strongest Currency.” </w:t>
      </w:r>
      <w:r w:rsidRPr="000D78A5">
        <w:rPr>
          <w:rFonts w:ascii="Times New Roman" w:eastAsia="Times New Roman" w:hAnsi="Times New Roman" w:cs="Times New Roman"/>
          <w:bCs/>
          <w:i/>
          <w:iCs/>
          <w:sz w:val="24"/>
          <w:szCs w:val="24"/>
        </w:rPr>
        <w:t>Armenian Weekly</w:t>
      </w:r>
      <w:r w:rsidRPr="000D78A5">
        <w:rPr>
          <w:rFonts w:ascii="Times New Roman" w:eastAsia="Times New Roman" w:hAnsi="Times New Roman" w:cs="Times New Roman"/>
          <w:bCs/>
          <w:sz w:val="24"/>
          <w:szCs w:val="24"/>
        </w:rPr>
        <w:t>.</w:t>
      </w:r>
    </w:p>
    <w:p w14:paraId="16DCE102"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Kelley, Judith. 2006. “New Wine in Old Wineskins: Policy Adaptation in the European Neighborhood Policy.” </w:t>
      </w:r>
      <w:r w:rsidRPr="000D78A5">
        <w:rPr>
          <w:rFonts w:ascii="Times New Roman" w:eastAsia="Times New Roman" w:hAnsi="Times New Roman" w:cs="Times New Roman"/>
          <w:bCs/>
          <w:i/>
          <w:iCs/>
          <w:sz w:val="24"/>
          <w:szCs w:val="24"/>
        </w:rPr>
        <w:t>Journal of Common Market Studies</w:t>
      </w:r>
      <w:r w:rsidRPr="000D78A5">
        <w:rPr>
          <w:rFonts w:ascii="Times New Roman" w:eastAsia="Times New Roman" w:hAnsi="Times New Roman" w:cs="Times New Roman"/>
          <w:bCs/>
          <w:sz w:val="24"/>
          <w:szCs w:val="24"/>
        </w:rPr>
        <w:t xml:space="preserve"> 44 (1): 29–55.</w:t>
      </w:r>
    </w:p>
    <w:p w14:paraId="32B0C752"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Levitsky, Steven, and Lucan A. Way. 2010. </w:t>
      </w:r>
      <w:r w:rsidRPr="000D78A5">
        <w:rPr>
          <w:rFonts w:ascii="Times New Roman" w:eastAsia="Times New Roman" w:hAnsi="Times New Roman" w:cs="Times New Roman"/>
          <w:bCs/>
          <w:i/>
          <w:iCs/>
          <w:sz w:val="24"/>
          <w:szCs w:val="24"/>
        </w:rPr>
        <w:t>Competitive Authoritarianism: Hybrid Regimes after the Cold War</w:t>
      </w:r>
      <w:r w:rsidRPr="000D78A5">
        <w:rPr>
          <w:rFonts w:ascii="Times New Roman" w:eastAsia="Times New Roman" w:hAnsi="Times New Roman" w:cs="Times New Roman"/>
          <w:bCs/>
          <w:sz w:val="24"/>
          <w:szCs w:val="24"/>
        </w:rPr>
        <w:t>. Cambridge: Cambridge University Press.</w:t>
      </w:r>
    </w:p>
    <w:p w14:paraId="42DB6B1B"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lastRenderedPageBreak/>
        <w:t xml:space="preserve">Ministry of Economy of the Republic of Armenia. “Cooperation with the FAO.” </w:t>
      </w:r>
      <w:hyperlink r:id="rId9" w:tgtFrame="_new" w:history="1">
        <w:r w:rsidRPr="000D78A5">
          <w:rPr>
            <w:rStyle w:val="Collegamentoipertestuale"/>
            <w:rFonts w:ascii="Times New Roman" w:eastAsia="Times New Roman" w:hAnsi="Times New Roman" w:cs="Times New Roman"/>
            <w:bCs/>
            <w:color w:val="auto"/>
            <w:sz w:val="24"/>
            <w:szCs w:val="24"/>
          </w:rPr>
          <w:t>https://mineconomy.am/en/page/1646</w:t>
        </w:r>
      </w:hyperlink>
      <w:r w:rsidRPr="000D78A5">
        <w:rPr>
          <w:rFonts w:ascii="Times New Roman" w:eastAsia="Times New Roman" w:hAnsi="Times New Roman" w:cs="Times New Roman"/>
          <w:bCs/>
          <w:sz w:val="24"/>
          <w:szCs w:val="24"/>
        </w:rPr>
        <w:t>.</w:t>
      </w:r>
    </w:p>
    <w:p w14:paraId="76A8CE3C"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Multi-Annual Indicative Programme 2021–2027 for Armenia. </w:t>
      </w:r>
      <w:r w:rsidRPr="000D78A5">
        <w:rPr>
          <w:rFonts w:ascii="Times New Roman" w:eastAsia="Times New Roman" w:hAnsi="Times New Roman" w:cs="Times New Roman"/>
          <w:bCs/>
          <w:i/>
          <w:iCs/>
          <w:sz w:val="24"/>
          <w:szCs w:val="24"/>
        </w:rPr>
        <w:t>Neighbourhood, Development and International Cooperation Instrument</w:t>
      </w:r>
      <w:r w:rsidRPr="000D78A5">
        <w:rPr>
          <w:rFonts w:ascii="Times New Roman" w:eastAsia="Times New Roman" w:hAnsi="Times New Roman" w:cs="Times New Roman"/>
          <w:bCs/>
          <w:sz w:val="24"/>
          <w:szCs w:val="24"/>
        </w:rPr>
        <w:t>.</w:t>
      </w:r>
    </w:p>
    <w:p w14:paraId="44FCD56C" w14:textId="77777777" w:rsid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Neuman, Marek. 2019. </w:t>
      </w:r>
      <w:r w:rsidRPr="000D78A5">
        <w:rPr>
          <w:rFonts w:ascii="Times New Roman" w:eastAsia="Times New Roman" w:hAnsi="Times New Roman" w:cs="Times New Roman"/>
          <w:bCs/>
          <w:i/>
          <w:iCs/>
          <w:sz w:val="24"/>
          <w:szCs w:val="24"/>
        </w:rPr>
        <w:t>Democracy Promotion and the Normative Power Europe Framework: The European Union in South Eastern Europe, Eastern Europe, and Central Asia</w:t>
      </w:r>
      <w:r w:rsidRPr="000D78A5">
        <w:rPr>
          <w:rFonts w:ascii="Times New Roman" w:eastAsia="Times New Roman" w:hAnsi="Times New Roman" w:cs="Times New Roman"/>
          <w:bCs/>
          <w:sz w:val="24"/>
          <w:szCs w:val="24"/>
        </w:rPr>
        <w:t>. Springer.</w:t>
      </w:r>
    </w:p>
    <w:p w14:paraId="60603EE1" w14:textId="1A84A670" w:rsidR="00912B33" w:rsidRDefault="00912B33" w:rsidP="000D78A5">
      <w:pPr>
        <w:jc w:val="both"/>
        <w:rPr>
          <w:rFonts w:ascii="Times New Roman" w:eastAsia="Times New Roman" w:hAnsi="Times New Roman" w:cs="Times New Roman"/>
          <w:bCs/>
          <w:sz w:val="24"/>
          <w:szCs w:val="24"/>
        </w:rPr>
      </w:pPr>
      <w:r w:rsidRPr="00912B33">
        <w:rPr>
          <w:rFonts w:ascii="Times New Roman" w:eastAsia="Times New Roman" w:hAnsi="Times New Roman" w:cs="Times New Roman"/>
          <w:bCs/>
          <w:sz w:val="24"/>
          <w:szCs w:val="24"/>
        </w:rPr>
        <w:t xml:space="preserve">OSCE Parliamentary Assembly (2023). </w:t>
      </w:r>
      <w:r w:rsidRPr="00912B33">
        <w:rPr>
          <w:rFonts w:ascii="Times New Roman" w:eastAsia="Times New Roman" w:hAnsi="Times New Roman" w:cs="Times New Roman"/>
          <w:bCs/>
          <w:i/>
          <w:iCs/>
          <w:sz w:val="24"/>
          <w:szCs w:val="24"/>
        </w:rPr>
        <w:t>Speech of Prime Minister Pashinyan at the Autumn Session in Yerevan</w:t>
      </w:r>
      <w:r w:rsidRPr="00912B33">
        <w:rPr>
          <w:rFonts w:ascii="Times New Roman" w:eastAsia="Times New Roman" w:hAnsi="Times New Roman" w:cs="Times New Roman"/>
          <w:bCs/>
          <w:sz w:val="24"/>
          <w:szCs w:val="24"/>
        </w:rPr>
        <w:t>, available at: nouvelhay.com</w:t>
      </w:r>
      <w:r>
        <w:rPr>
          <w:rFonts w:ascii="Times New Roman" w:eastAsia="Times New Roman" w:hAnsi="Times New Roman" w:cs="Times New Roman"/>
          <w:bCs/>
          <w:sz w:val="24"/>
          <w:szCs w:val="24"/>
        </w:rPr>
        <w:t>.</w:t>
      </w:r>
    </w:p>
    <w:p w14:paraId="48764209" w14:textId="63D5EA75" w:rsidR="00912B33" w:rsidRPr="000D78A5" w:rsidRDefault="00912B33" w:rsidP="000D78A5">
      <w:pPr>
        <w:jc w:val="both"/>
        <w:rPr>
          <w:rFonts w:ascii="Times New Roman" w:eastAsia="Times New Roman" w:hAnsi="Times New Roman" w:cs="Times New Roman"/>
          <w:bCs/>
          <w:sz w:val="24"/>
          <w:szCs w:val="24"/>
        </w:rPr>
      </w:pPr>
      <w:r w:rsidRPr="00912B33">
        <w:rPr>
          <w:rFonts w:ascii="Times New Roman" w:eastAsia="Times New Roman" w:hAnsi="Times New Roman" w:cs="Times New Roman"/>
          <w:bCs/>
          <w:sz w:val="24"/>
          <w:szCs w:val="24"/>
        </w:rPr>
        <w:t xml:space="preserve">Pashinyan, Nikol (2023). </w:t>
      </w:r>
      <w:r w:rsidRPr="00912B33">
        <w:rPr>
          <w:rFonts w:ascii="Times New Roman" w:eastAsia="Times New Roman" w:hAnsi="Times New Roman" w:cs="Times New Roman"/>
          <w:bCs/>
          <w:i/>
          <w:iCs/>
          <w:sz w:val="24"/>
          <w:szCs w:val="24"/>
        </w:rPr>
        <w:t>Speech to the Armenian Parliament</w:t>
      </w:r>
      <w:r w:rsidRPr="00912B33">
        <w:rPr>
          <w:rFonts w:ascii="Times New Roman" w:eastAsia="Times New Roman" w:hAnsi="Times New Roman" w:cs="Times New Roman"/>
          <w:bCs/>
          <w:sz w:val="24"/>
          <w:szCs w:val="24"/>
        </w:rPr>
        <w:t>, available at: 1lurer.am</w:t>
      </w:r>
      <w:r>
        <w:rPr>
          <w:rFonts w:ascii="Times New Roman" w:eastAsia="Times New Roman" w:hAnsi="Times New Roman" w:cs="Times New Roman"/>
          <w:bCs/>
          <w:sz w:val="24"/>
          <w:szCs w:val="24"/>
        </w:rPr>
        <w:t>.</w:t>
      </w:r>
    </w:p>
    <w:p w14:paraId="3294735E"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Paturyan, Yevgenya J., and Christoph H. Stefes. 2021. “After the Revolution: State, Civil Society, and Democratization in Armenia and Georgia.” </w:t>
      </w:r>
      <w:r w:rsidRPr="000D78A5">
        <w:rPr>
          <w:rFonts w:ascii="Times New Roman" w:eastAsia="Times New Roman" w:hAnsi="Times New Roman" w:cs="Times New Roman"/>
          <w:bCs/>
          <w:i/>
          <w:iCs/>
          <w:sz w:val="24"/>
          <w:szCs w:val="24"/>
        </w:rPr>
        <w:t>Frontiers in Political Science</w:t>
      </w:r>
      <w:r w:rsidRPr="000D78A5">
        <w:rPr>
          <w:rFonts w:ascii="Times New Roman" w:eastAsia="Times New Roman" w:hAnsi="Times New Roman" w:cs="Times New Roman"/>
          <w:bCs/>
          <w:sz w:val="24"/>
          <w:szCs w:val="24"/>
        </w:rPr>
        <w:t>.</w:t>
      </w:r>
    </w:p>
    <w:p w14:paraId="041A9C8B"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Pereira, Watts I. 2016. “From War to Peace: When Democracy Prevails?” </w:t>
      </w:r>
      <w:r w:rsidRPr="000D78A5">
        <w:rPr>
          <w:rFonts w:ascii="Times New Roman" w:eastAsia="Times New Roman" w:hAnsi="Times New Roman" w:cs="Times New Roman"/>
          <w:bCs/>
          <w:i/>
          <w:iCs/>
          <w:sz w:val="24"/>
          <w:szCs w:val="24"/>
        </w:rPr>
        <w:t>Saint Louis University Public Law Review</w:t>
      </w:r>
      <w:r w:rsidRPr="000D78A5">
        <w:rPr>
          <w:rFonts w:ascii="Times New Roman" w:eastAsia="Times New Roman" w:hAnsi="Times New Roman" w:cs="Times New Roman"/>
          <w:bCs/>
          <w:sz w:val="24"/>
          <w:szCs w:val="24"/>
        </w:rPr>
        <w:t xml:space="preserve"> 35.</w:t>
      </w:r>
    </w:p>
    <w:p w14:paraId="0BF4273D"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Schunz, Simon. 2010. “How to Assess the European Union’s Influence in International Affairs: Addressing a Major Conceptual Challenge for EU Foreign Policy Analysis.” </w:t>
      </w:r>
      <w:r w:rsidRPr="000D78A5">
        <w:rPr>
          <w:rFonts w:ascii="Times New Roman" w:eastAsia="Times New Roman" w:hAnsi="Times New Roman" w:cs="Times New Roman"/>
          <w:bCs/>
          <w:i/>
          <w:iCs/>
          <w:sz w:val="24"/>
          <w:szCs w:val="24"/>
        </w:rPr>
        <w:t>Journal of Contemporary European Research</w:t>
      </w:r>
      <w:r w:rsidRPr="000D78A5">
        <w:rPr>
          <w:rFonts w:ascii="Times New Roman" w:eastAsia="Times New Roman" w:hAnsi="Times New Roman" w:cs="Times New Roman"/>
          <w:bCs/>
          <w:sz w:val="24"/>
          <w:szCs w:val="24"/>
        </w:rPr>
        <w:t>.</w:t>
      </w:r>
    </w:p>
    <w:p w14:paraId="3091FF1E" w14:textId="77777777" w:rsid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Schunz, Simon. 2021. “Analysing the Effectiveness of European Union External Action.” In Gstöhl and Schunz, </w:t>
      </w:r>
      <w:r w:rsidRPr="000D78A5">
        <w:rPr>
          <w:rFonts w:ascii="Times New Roman" w:eastAsia="Times New Roman" w:hAnsi="Times New Roman" w:cs="Times New Roman"/>
          <w:bCs/>
          <w:i/>
          <w:iCs/>
          <w:sz w:val="24"/>
          <w:szCs w:val="24"/>
        </w:rPr>
        <w:t>The European Union’s External Action: Concepts, Approaches, Theories</w:t>
      </w:r>
      <w:r w:rsidRPr="000D78A5">
        <w:rPr>
          <w:rFonts w:ascii="Times New Roman" w:eastAsia="Times New Roman" w:hAnsi="Times New Roman" w:cs="Times New Roman"/>
          <w:bCs/>
          <w:sz w:val="24"/>
          <w:szCs w:val="24"/>
        </w:rPr>
        <w:t>.</w:t>
      </w:r>
    </w:p>
    <w:p w14:paraId="36905921" w14:textId="3DEF9417" w:rsidR="00912B33" w:rsidRPr="000D78A5" w:rsidRDefault="00912B33" w:rsidP="000D78A5">
      <w:pPr>
        <w:jc w:val="both"/>
        <w:rPr>
          <w:rFonts w:ascii="Times New Roman" w:eastAsia="Times New Roman" w:hAnsi="Times New Roman" w:cs="Times New Roman"/>
          <w:bCs/>
          <w:sz w:val="24"/>
          <w:szCs w:val="24"/>
        </w:rPr>
      </w:pPr>
      <w:r w:rsidRPr="00912B33">
        <w:rPr>
          <w:rFonts w:ascii="Times New Roman" w:eastAsia="Times New Roman" w:hAnsi="Times New Roman" w:cs="Times New Roman"/>
          <w:sz w:val="24"/>
          <w:szCs w:val="24"/>
        </w:rPr>
        <w:t>Ter-Petrosyan, Levon. 2008.</w:t>
      </w:r>
      <w:r w:rsidRPr="00912B33">
        <w:rPr>
          <w:rFonts w:ascii="Times New Roman" w:eastAsia="Times New Roman" w:hAnsi="Times New Roman" w:cs="Times New Roman"/>
          <w:bCs/>
          <w:sz w:val="24"/>
          <w:szCs w:val="24"/>
        </w:rPr>
        <w:t xml:space="preserve"> </w:t>
      </w:r>
      <w:r w:rsidRPr="00912B33">
        <w:rPr>
          <w:rFonts w:ascii="Times New Roman" w:eastAsia="Times New Roman" w:hAnsi="Times New Roman" w:cs="Times New Roman"/>
          <w:bCs/>
          <w:i/>
          <w:iCs/>
          <w:sz w:val="24"/>
          <w:szCs w:val="24"/>
        </w:rPr>
        <w:t>Campaign Speech in Sevan, Armenia, September 2008</w:t>
      </w:r>
      <w:r w:rsidRPr="00912B33">
        <w:rPr>
          <w:rFonts w:ascii="Times New Roman" w:eastAsia="Times New Roman" w:hAnsi="Times New Roman" w:cs="Times New Roman"/>
          <w:bCs/>
          <w:sz w:val="24"/>
          <w:szCs w:val="24"/>
        </w:rPr>
        <w:t>. Transcript available at: https://www.1in.am/eng/politics_123456.html</w:t>
      </w:r>
      <w:r>
        <w:rPr>
          <w:rFonts w:ascii="Times New Roman" w:eastAsia="Times New Roman" w:hAnsi="Times New Roman" w:cs="Times New Roman"/>
          <w:bCs/>
          <w:sz w:val="24"/>
          <w:szCs w:val="24"/>
        </w:rPr>
        <w:t>.</w:t>
      </w:r>
    </w:p>
    <w:p w14:paraId="6BF4DEF6"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Terzyan, Aram. 2020. “The Aftermath of the ‘Velvet Revolution’: Armenia Between Domestic Change and Foreign Policy Continuity.” </w:t>
      </w:r>
      <w:r w:rsidRPr="000D78A5">
        <w:rPr>
          <w:rFonts w:ascii="Times New Roman" w:eastAsia="Times New Roman" w:hAnsi="Times New Roman" w:cs="Times New Roman"/>
          <w:bCs/>
          <w:i/>
          <w:iCs/>
          <w:sz w:val="24"/>
          <w:szCs w:val="24"/>
        </w:rPr>
        <w:t>Eastern European Journal for Regional Studies</w:t>
      </w:r>
      <w:r w:rsidRPr="000D78A5">
        <w:rPr>
          <w:rFonts w:ascii="Times New Roman" w:eastAsia="Times New Roman" w:hAnsi="Times New Roman" w:cs="Times New Roman"/>
          <w:bCs/>
          <w:sz w:val="24"/>
          <w:szCs w:val="24"/>
        </w:rPr>
        <w:t>.</w:t>
      </w:r>
    </w:p>
    <w:p w14:paraId="2C1A84FF"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The Prime Minister of the Republic of Armenia. 2025. “Cabinet Meeting Press Release.” </w:t>
      </w:r>
      <w:hyperlink r:id="rId10" w:tgtFrame="_new" w:history="1">
        <w:r w:rsidRPr="000D78A5">
          <w:rPr>
            <w:rStyle w:val="Collegamentoipertestuale"/>
            <w:rFonts w:ascii="Times New Roman" w:eastAsia="Times New Roman" w:hAnsi="Times New Roman" w:cs="Times New Roman"/>
            <w:bCs/>
            <w:color w:val="auto"/>
            <w:sz w:val="24"/>
            <w:szCs w:val="24"/>
          </w:rPr>
          <w:t>https://www.primeminister.am/en/press-release/item/2025/02/27/Cabinet-meeting/</w:t>
        </w:r>
      </w:hyperlink>
      <w:r w:rsidRPr="000D78A5">
        <w:rPr>
          <w:rFonts w:ascii="Times New Roman" w:eastAsia="Times New Roman" w:hAnsi="Times New Roman" w:cs="Times New Roman"/>
          <w:bCs/>
          <w:sz w:val="24"/>
          <w:szCs w:val="24"/>
        </w:rPr>
        <w:t>.</w:t>
      </w:r>
    </w:p>
    <w:p w14:paraId="106CE768"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Tir, Jaroslav, and Matthew P. Jasinski. 2008. “Domestic-Level Diversionary Theory of War: Targeting Ethnic Minorities.” </w:t>
      </w:r>
      <w:r w:rsidRPr="000D78A5">
        <w:rPr>
          <w:rFonts w:ascii="Times New Roman" w:eastAsia="Times New Roman" w:hAnsi="Times New Roman" w:cs="Times New Roman"/>
          <w:bCs/>
          <w:i/>
          <w:iCs/>
          <w:sz w:val="24"/>
          <w:szCs w:val="24"/>
        </w:rPr>
        <w:t>Journal of Conflict Resolution</w:t>
      </w:r>
      <w:r w:rsidRPr="000D78A5">
        <w:rPr>
          <w:rFonts w:ascii="Times New Roman" w:eastAsia="Times New Roman" w:hAnsi="Times New Roman" w:cs="Times New Roman"/>
          <w:bCs/>
          <w:sz w:val="24"/>
          <w:szCs w:val="24"/>
        </w:rPr>
        <w:t xml:space="preserve"> 52 (5): 641–664.</w:t>
      </w:r>
    </w:p>
    <w:p w14:paraId="3CF6402C"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Trumbore, Peter F., and Mark A. Boyer. 2000. “International Crisis Decisionmaking as a Two-Level Process.” </w:t>
      </w:r>
      <w:r w:rsidRPr="000D78A5">
        <w:rPr>
          <w:rFonts w:ascii="Times New Roman" w:eastAsia="Times New Roman" w:hAnsi="Times New Roman" w:cs="Times New Roman"/>
          <w:bCs/>
          <w:i/>
          <w:iCs/>
          <w:sz w:val="24"/>
          <w:szCs w:val="24"/>
        </w:rPr>
        <w:t>Journal of Peace Research</w:t>
      </w:r>
      <w:r w:rsidRPr="000D78A5">
        <w:rPr>
          <w:rFonts w:ascii="Times New Roman" w:eastAsia="Times New Roman" w:hAnsi="Times New Roman" w:cs="Times New Roman"/>
          <w:bCs/>
          <w:sz w:val="24"/>
          <w:szCs w:val="24"/>
        </w:rPr>
        <w:t xml:space="preserve"> 37 (6): 679–697.</w:t>
      </w:r>
    </w:p>
    <w:p w14:paraId="4E08A516" w14:textId="77777777" w:rsid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Tulmets, Elsa. 2005. “The Introduction of the Open Method of Coordination in the European Enlargement Policy: Analysing the Impact of the PHARE/Twinning Instrument.” </w:t>
      </w:r>
      <w:r w:rsidRPr="000D78A5">
        <w:rPr>
          <w:rFonts w:ascii="Times New Roman" w:eastAsia="Times New Roman" w:hAnsi="Times New Roman" w:cs="Times New Roman"/>
          <w:bCs/>
          <w:i/>
          <w:iCs/>
          <w:sz w:val="24"/>
          <w:szCs w:val="24"/>
        </w:rPr>
        <w:t>European Political Economy Review</w:t>
      </w:r>
      <w:r w:rsidRPr="000D78A5">
        <w:rPr>
          <w:rFonts w:ascii="Times New Roman" w:eastAsia="Times New Roman" w:hAnsi="Times New Roman" w:cs="Times New Roman"/>
          <w:bCs/>
          <w:sz w:val="24"/>
          <w:szCs w:val="24"/>
        </w:rPr>
        <w:t>.</w:t>
      </w:r>
    </w:p>
    <w:p w14:paraId="192F14A3" w14:textId="6CDEB9F9" w:rsidR="00216BB2" w:rsidRPr="000D78A5" w:rsidRDefault="00216BB2" w:rsidP="000D78A5">
      <w:pPr>
        <w:jc w:val="both"/>
        <w:rPr>
          <w:rFonts w:ascii="Times New Roman" w:eastAsia="Times New Roman" w:hAnsi="Times New Roman" w:cs="Times New Roman"/>
          <w:bCs/>
          <w:sz w:val="24"/>
          <w:szCs w:val="24"/>
        </w:rPr>
      </w:pPr>
      <w:r w:rsidRPr="00216BB2">
        <w:rPr>
          <w:rFonts w:ascii="Times New Roman" w:eastAsia="Times New Roman" w:hAnsi="Times New Roman" w:cs="Times New Roman"/>
          <w:bCs/>
          <w:sz w:val="24"/>
          <w:szCs w:val="24"/>
        </w:rPr>
        <w:t>Tulmets, Elsa</w:t>
      </w:r>
      <w:r>
        <w:rPr>
          <w:rFonts w:ascii="Times New Roman" w:eastAsia="Times New Roman" w:hAnsi="Times New Roman" w:cs="Times New Roman"/>
          <w:bCs/>
          <w:sz w:val="24"/>
          <w:szCs w:val="24"/>
        </w:rPr>
        <w:t xml:space="preserve">. </w:t>
      </w:r>
      <w:r w:rsidRPr="00216BB2">
        <w:rPr>
          <w:rFonts w:ascii="Times New Roman" w:eastAsia="Times New Roman" w:hAnsi="Times New Roman" w:cs="Times New Roman"/>
          <w:bCs/>
          <w:sz w:val="24"/>
          <w:szCs w:val="24"/>
        </w:rPr>
        <w:t xml:space="preserve">2005. “The Management of New Forms of Governance by Former Accession Countries of the European Union: Institutional Twinning in Estonia and Hungary.” </w:t>
      </w:r>
      <w:r w:rsidRPr="00216BB2">
        <w:rPr>
          <w:rFonts w:ascii="Times New Roman" w:eastAsia="Times New Roman" w:hAnsi="Times New Roman" w:cs="Times New Roman"/>
          <w:bCs/>
          <w:i/>
          <w:iCs/>
          <w:sz w:val="24"/>
          <w:szCs w:val="24"/>
        </w:rPr>
        <w:t>European Law Journal</w:t>
      </w:r>
      <w:r w:rsidRPr="00216BB2">
        <w:rPr>
          <w:rFonts w:ascii="Times New Roman" w:eastAsia="Times New Roman" w:hAnsi="Times New Roman" w:cs="Times New Roman"/>
          <w:bCs/>
          <w:sz w:val="24"/>
          <w:szCs w:val="24"/>
        </w:rPr>
        <w:t>, 11(5): 657–674.</w:t>
      </w:r>
    </w:p>
    <w:p w14:paraId="3CB2134F"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Van Schaik, Louise. 2013. </w:t>
      </w:r>
      <w:r w:rsidRPr="000D78A5">
        <w:rPr>
          <w:rFonts w:ascii="Times New Roman" w:eastAsia="Times New Roman" w:hAnsi="Times New Roman" w:cs="Times New Roman"/>
          <w:bCs/>
          <w:i/>
          <w:iCs/>
          <w:sz w:val="24"/>
          <w:szCs w:val="24"/>
        </w:rPr>
        <w:t>EU Effectiveness and Unity in Multilateral Negotiations: More Than the Sum of Its Parts?</w:t>
      </w:r>
      <w:r w:rsidRPr="000D78A5">
        <w:rPr>
          <w:rFonts w:ascii="Times New Roman" w:eastAsia="Times New Roman" w:hAnsi="Times New Roman" w:cs="Times New Roman"/>
          <w:bCs/>
          <w:sz w:val="24"/>
          <w:szCs w:val="24"/>
        </w:rPr>
        <w:t xml:space="preserve"> Basingstoke: Palgrave Macmillan.</w:t>
      </w:r>
    </w:p>
    <w:p w14:paraId="169BA122" w14:textId="77777777" w:rsid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lastRenderedPageBreak/>
        <w:t xml:space="preserve">Waldner, David. 2012. “Process Tracing and Causal Mechanisms.” In </w:t>
      </w:r>
      <w:r w:rsidRPr="000D78A5">
        <w:rPr>
          <w:rFonts w:ascii="Times New Roman" w:eastAsia="Times New Roman" w:hAnsi="Times New Roman" w:cs="Times New Roman"/>
          <w:bCs/>
          <w:i/>
          <w:iCs/>
          <w:sz w:val="24"/>
          <w:szCs w:val="24"/>
        </w:rPr>
        <w:t>The Oxford Handbook of Political Science</w:t>
      </w:r>
      <w:r w:rsidRPr="000D78A5">
        <w:rPr>
          <w:rFonts w:ascii="Times New Roman" w:eastAsia="Times New Roman" w:hAnsi="Times New Roman" w:cs="Times New Roman"/>
          <w:bCs/>
          <w:sz w:val="24"/>
          <w:szCs w:val="24"/>
        </w:rPr>
        <w:t>, edited by Janet M. Box-Steffensmeier, Henry E. Brady, and David Collier, 65–84. Oxford: Oxford University Press.</w:t>
      </w:r>
    </w:p>
    <w:p w14:paraId="6071A7CD" w14:textId="5904FF4F" w:rsidR="00216BB2" w:rsidRPr="000D78A5" w:rsidRDefault="00216BB2" w:rsidP="000D78A5">
      <w:pPr>
        <w:jc w:val="both"/>
        <w:rPr>
          <w:rFonts w:ascii="Times New Roman" w:eastAsia="Times New Roman" w:hAnsi="Times New Roman" w:cs="Times New Roman"/>
          <w:bCs/>
          <w:sz w:val="24"/>
          <w:szCs w:val="24"/>
        </w:rPr>
      </w:pPr>
      <w:r w:rsidRPr="00216BB2">
        <w:rPr>
          <w:rFonts w:ascii="Times New Roman" w:eastAsia="Times New Roman" w:hAnsi="Times New Roman" w:cs="Times New Roman"/>
          <w:bCs/>
          <w:sz w:val="24"/>
          <w:szCs w:val="24"/>
        </w:rPr>
        <w:t>Way, Lucan A.</w:t>
      </w:r>
      <w:r>
        <w:rPr>
          <w:rFonts w:ascii="Times New Roman" w:eastAsia="Times New Roman" w:hAnsi="Times New Roman" w:cs="Times New Roman"/>
          <w:bCs/>
          <w:sz w:val="24"/>
          <w:szCs w:val="24"/>
        </w:rPr>
        <w:t xml:space="preserve"> </w:t>
      </w:r>
      <w:r w:rsidRPr="00216BB2">
        <w:rPr>
          <w:rFonts w:ascii="Times New Roman" w:eastAsia="Times New Roman" w:hAnsi="Times New Roman" w:cs="Times New Roman"/>
          <w:bCs/>
          <w:sz w:val="24"/>
          <w:szCs w:val="24"/>
        </w:rPr>
        <w:t xml:space="preserve">2005. “Authoritarian State Building and the Sources of Regime Competitiveness in the Fourth Wave: The Cases of Belarus, Moldova, Russia, and Ukraine.” </w:t>
      </w:r>
      <w:r w:rsidRPr="00216BB2">
        <w:rPr>
          <w:rFonts w:ascii="Times New Roman" w:eastAsia="Times New Roman" w:hAnsi="Times New Roman" w:cs="Times New Roman"/>
          <w:bCs/>
          <w:i/>
          <w:iCs/>
          <w:sz w:val="24"/>
          <w:szCs w:val="24"/>
        </w:rPr>
        <w:t>World Politics</w:t>
      </w:r>
      <w:r w:rsidRPr="00216BB2">
        <w:rPr>
          <w:rFonts w:ascii="Times New Roman" w:eastAsia="Times New Roman" w:hAnsi="Times New Roman" w:cs="Times New Roman"/>
          <w:bCs/>
          <w:sz w:val="24"/>
          <w:szCs w:val="24"/>
        </w:rPr>
        <w:t>, 57(2): 231–261.</w:t>
      </w:r>
    </w:p>
    <w:p w14:paraId="6B814A40"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 xml:space="preserve">World Bank. 2024. </w:t>
      </w:r>
      <w:r w:rsidRPr="000D78A5">
        <w:rPr>
          <w:rFonts w:ascii="Times New Roman" w:eastAsia="Times New Roman" w:hAnsi="Times New Roman" w:cs="Times New Roman"/>
          <w:bCs/>
          <w:i/>
          <w:iCs/>
          <w:sz w:val="24"/>
          <w:szCs w:val="24"/>
        </w:rPr>
        <w:t>Armenia Economic Update – Spring 2024</w:t>
      </w:r>
      <w:r w:rsidRPr="000D78A5">
        <w:rPr>
          <w:rFonts w:ascii="Times New Roman" w:eastAsia="Times New Roman" w:hAnsi="Times New Roman" w:cs="Times New Roman"/>
          <w:bCs/>
          <w:sz w:val="24"/>
          <w:szCs w:val="24"/>
        </w:rPr>
        <w:t>. Washington, DC.</w:t>
      </w:r>
    </w:p>
    <w:p w14:paraId="5A0A5C3B" w14:textId="77777777" w:rsidR="000D78A5" w:rsidRPr="000D78A5" w:rsidRDefault="000D78A5" w:rsidP="000D78A5">
      <w:pPr>
        <w:jc w:val="both"/>
        <w:rPr>
          <w:rFonts w:ascii="Times New Roman" w:eastAsia="Times New Roman" w:hAnsi="Times New Roman" w:cs="Times New Roman"/>
          <w:bCs/>
          <w:sz w:val="24"/>
          <w:szCs w:val="24"/>
        </w:rPr>
      </w:pPr>
      <w:r w:rsidRPr="000D78A5">
        <w:rPr>
          <w:rFonts w:ascii="Times New Roman" w:eastAsia="Times New Roman" w:hAnsi="Times New Roman" w:cs="Times New Roman"/>
          <w:bCs/>
          <w:sz w:val="24"/>
          <w:szCs w:val="24"/>
        </w:rPr>
        <w:t>Zolian, Mikael. 2025. “Systemic Democratic Change? Armenia’s Achievements and Shortcomings since the Velvet Revolution.” Heinrich Böll Foundation, Tbilisi, South Caucasus Region.</w:t>
      </w:r>
    </w:p>
    <w:p w14:paraId="0000008E" w14:textId="77777777" w:rsidR="003D6E6D" w:rsidRDefault="003D6E6D">
      <w:pPr>
        <w:jc w:val="both"/>
        <w:rPr>
          <w:rFonts w:ascii="Times New Roman" w:eastAsia="Times New Roman" w:hAnsi="Times New Roman" w:cs="Times New Roman"/>
          <w:sz w:val="24"/>
          <w:szCs w:val="24"/>
        </w:rPr>
      </w:pPr>
    </w:p>
    <w:p w14:paraId="0000008F" w14:textId="77777777" w:rsidR="003D6E6D" w:rsidRDefault="003D6E6D"/>
    <w:sectPr w:rsidR="003D6E6D">
      <w:pgSz w:w="11906" w:h="16838"/>
      <w:pgMar w:top="1417" w:right="1134" w:bottom="1134"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C636B0" w14:textId="77777777" w:rsidR="00150538" w:rsidRDefault="00150538">
      <w:pPr>
        <w:spacing w:after="0" w:line="240" w:lineRule="auto"/>
      </w:pPr>
      <w:r>
        <w:separator/>
      </w:r>
    </w:p>
  </w:endnote>
  <w:endnote w:type="continuationSeparator" w:id="0">
    <w:p w14:paraId="4121B3CA" w14:textId="77777777" w:rsidR="00150538" w:rsidRDefault="001505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56911D" w14:textId="77777777" w:rsidR="00150538" w:rsidRDefault="00150538">
      <w:pPr>
        <w:spacing w:after="0" w:line="240" w:lineRule="auto"/>
      </w:pPr>
      <w:r>
        <w:separator/>
      </w:r>
    </w:p>
  </w:footnote>
  <w:footnote w:type="continuationSeparator" w:id="0">
    <w:p w14:paraId="731DE5C1" w14:textId="77777777" w:rsidR="00150538" w:rsidRDefault="00150538">
      <w:pPr>
        <w:spacing w:after="0" w:line="240" w:lineRule="auto"/>
      </w:pPr>
      <w:r>
        <w:continuationSeparator/>
      </w:r>
    </w:p>
  </w:footnote>
  <w:footnote w:id="1">
    <w:p w14:paraId="00000090" w14:textId="77777777" w:rsidR="003D6E6D" w:rsidRDefault="00000000">
      <w:pPr>
        <w:pBdr>
          <w:top w:val="nil"/>
          <w:left w:val="nil"/>
          <w:bottom w:val="nil"/>
          <w:right w:val="nil"/>
          <w:between w:val="nil"/>
        </w:pBdr>
        <w:spacing w:after="0" w:line="240" w:lineRule="auto"/>
        <w:rPr>
          <w:i/>
          <w:color w:val="000000"/>
          <w:sz w:val="20"/>
          <w:szCs w:val="20"/>
        </w:rPr>
      </w:pPr>
      <w:r>
        <w:rPr>
          <w:vertAlign w:val="superscript"/>
        </w:rPr>
        <w:footnoteRef/>
      </w:r>
      <w:r>
        <w:rPr>
          <w:color w:val="000000"/>
          <w:sz w:val="20"/>
          <w:szCs w:val="20"/>
        </w:rPr>
        <w:t xml:space="preserve"> </w:t>
      </w:r>
      <w:r>
        <w:rPr>
          <w:i/>
          <w:color w:val="000000"/>
          <w:sz w:val="20"/>
          <w:szCs w:val="20"/>
        </w:rPr>
        <w:t>Предложение сопредседателей МГ ОБСЕ («пакетный» вариант, июль 1997 г.), Proposal of the OSCE Minsk Group Co-Chairs (package version, July 1997).</w:t>
      </w:r>
    </w:p>
    <w:p w14:paraId="00000091" w14:textId="77777777" w:rsidR="003D6E6D" w:rsidRDefault="003D6E6D">
      <w:pPr>
        <w:pBdr>
          <w:top w:val="nil"/>
          <w:left w:val="nil"/>
          <w:bottom w:val="nil"/>
          <w:right w:val="nil"/>
          <w:between w:val="nil"/>
        </w:pBdr>
        <w:spacing w:after="0" w:line="240" w:lineRule="auto"/>
        <w:rPr>
          <w:color w:val="000000"/>
          <w:sz w:val="20"/>
          <w:szCs w:val="20"/>
        </w:rPr>
      </w:pPr>
    </w:p>
  </w:footnote>
  <w:footnote w:id="2">
    <w:p w14:paraId="00000092" w14:textId="77777777" w:rsidR="003D6E6D" w:rsidRDefault="00000000">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Предложение сопредседателей МГ ОБСЕ («поэтапный» вариант, декабрь 1997 г.), Proposal of the OSCE Minsk Group Co-Chairs (step-by-step version, December 1997).</w:t>
      </w:r>
    </w:p>
  </w:footnote>
  <w:footnote w:id="3">
    <w:p w14:paraId="00000093" w14:textId="77777777" w:rsidR="003D6E6D" w:rsidRDefault="00000000">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Предложение сопредседателей МГ ОБСЕ («общее государство», ноябрь 1998 г.), Proposal of the OSCE Minsk Group Co-Chairs (“common state”, November 1998).</w:t>
      </w:r>
    </w:p>
  </w:footnote>
  <w:footnote w:id="4">
    <w:p w14:paraId="00000094" w14:textId="77777777" w:rsidR="003D6E6D" w:rsidRDefault="00000000">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i/>
          <w:color w:val="000000"/>
          <w:sz w:val="20"/>
          <w:szCs w:val="20"/>
        </w:rPr>
        <w:t>Քի Վեսթ` չիրացված հնարավորություն</w:t>
      </w:r>
      <w:r>
        <w:rPr>
          <w:color w:val="000000"/>
          <w:sz w:val="20"/>
          <w:szCs w:val="20"/>
        </w:rPr>
        <w:t xml:space="preserve">. Վարդան Օսկանյան, </w:t>
      </w:r>
      <w:r>
        <w:rPr>
          <w:i/>
          <w:color w:val="000000"/>
          <w:sz w:val="20"/>
          <w:szCs w:val="20"/>
        </w:rPr>
        <w:t>Key West: an unrealized opportunity</w:t>
      </w:r>
      <w:r>
        <w:rPr>
          <w:color w:val="000000"/>
          <w:sz w:val="20"/>
          <w:szCs w:val="20"/>
        </w:rPr>
        <w:t>: Vartan Oskanian.</w:t>
      </w:r>
    </w:p>
  </w:footnote>
  <w:footnote w:id="5">
    <w:p w14:paraId="00000095" w14:textId="77777777" w:rsidR="003D6E6D" w:rsidRDefault="00000000">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Statement by the OSCE Minsk Group Co-Chair countries, L’AQUILA</w:t>
      </w:r>
    </w:p>
    <w:p w14:paraId="00000096" w14:textId="77777777" w:rsidR="003D6E6D" w:rsidRDefault="003D6E6D">
      <w:pPr>
        <w:pBdr>
          <w:top w:val="nil"/>
          <w:left w:val="nil"/>
          <w:bottom w:val="nil"/>
          <w:right w:val="nil"/>
          <w:between w:val="nil"/>
        </w:pBdr>
        <w:spacing w:after="0" w:line="240" w:lineRule="auto"/>
        <w:rPr>
          <w:color w:val="000000"/>
          <w:sz w:val="20"/>
          <w:szCs w:val="20"/>
        </w:rPr>
      </w:pPr>
    </w:p>
  </w:footnote>
  <w:footnote w:id="6">
    <w:p w14:paraId="229EBAFA" w14:textId="1434D814" w:rsidR="00E2383A" w:rsidRDefault="00E2383A">
      <w:pPr>
        <w:pStyle w:val="Testonotaapidipagina"/>
      </w:pPr>
      <w:r>
        <w:rPr>
          <w:rStyle w:val="Rimandonotaapidipagina"/>
        </w:rPr>
        <w:footnoteRef/>
      </w:r>
      <w:r>
        <w:t xml:space="preserve"> </w:t>
      </w:r>
      <w:r w:rsidRPr="00E2383A">
        <w:t>https://jam-news.net/the-peace-agenda-does-not-mean-the-peaceful-extermination-of-armenians-pashinyan/?utm_source=</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6E6D"/>
    <w:rsid w:val="00072A3C"/>
    <w:rsid w:val="00095F27"/>
    <w:rsid w:val="000C6D6F"/>
    <w:rsid w:val="000D78A5"/>
    <w:rsid w:val="000F638E"/>
    <w:rsid w:val="00146C90"/>
    <w:rsid w:val="00150538"/>
    <w:rsid w:val="0016410D"/>
    <w:rsid w:val="00166E9C"/>
    <w:rsid w:val="00166FF2"/>
    <w:rsid w:val="00193C49"/>
    <w:rsid w:val="00194240"/>
    <w:rsid w:val="001A099F"/>
    <w:rsid w:val="001B3B91"/>
    <w:rsid w:val="002046CA"/>
    <w:rsid w:val="002106AC"/>
    <w:rsid w:val="00216BB2"/>
    <w:rsid w:val="0021786D"/>
    <w:rsid w:val="00233581"/>
    <w:rsid w:val="0023541F"/>
    <w:rsid w:val="00254218"/>
    <w:rsid w:val="00286F2E"/>
    <w:rsid w:val="002C1B82"/>
    <w:rsid w:val="00341FB5"/>
    <w:rsid w:val="00393A69"/>
    <w:rsid w:val="003C77B0"/>
    <w:rsid w:val="003D6E6D"/>
    <w:rsid w:val="003F1887"/>
    <w:rsid w:val="00415553"/>
    <w:rsid w:val="00441C21"/>
    <w:rsid w:val="00445A71"/>
    <w:rsid w:val="004772CC"/>
    <w:rsid w:val="0049736C"/>
    <w:rsid w:val="004F33FC"/>
    <w:rsid w:val="005156C4"/>
    <w:rsid w:val="0052316F"/>
    <w:rsid w:val="0055136F"/>
    <w:rsid w:val="00567101"/>
    <w:rsid w:val="005C4A87"/>
    <w:rsid w:val="005E4DDA"/>
    <w:rsid w:val="005F5604"/>
    <w:rsid w:val="00633E35"/>
    <w:rsid w:val="0068446F"/>
    <w:rsid w:val="006A576C"/>
    <w:rsid w:val="006C7881"/>
    <w:rsid w:val="006F1B04"/>
    <w:rsid w:val="00700034"/>
    <w:rsid w:val="00700222"/>
    <w:rsid w:val="007121E7"/>
    <w:rsid w:val="00771C6D"/>
    <w:rsid w:val="007A20E3"/>
    <w:rsid w:val="007D1B61"/>
    <w:rsid w:val="007D2C6A"/>
    <w:rsid w:val="007D2E12"/>
    <w:rsid w:val="007E17C9"/>
    <w:rsid w:val="00801FCA"/>
    <w:rsid w:val="008219F0"/>
    <w:rsid w:val="00842D46"/>
    <w:rsid w:val="00847966"/>
    <w:rsid w:val="008560EB"/>
    <w:rsid w:val="00870BD2"/>
    <w:rsid w:val="008B31F7"/>
    <w:rsid w:val="008D29A1"/>
    <w:rsid w:val="008E0159"/>
    <w:rsid w:val="00912990"/>
    <w:rsid w:val="00912B33"/>
    <w:rsid w:val="00926CF8"/>
    <w:rsid w:val="00935E57"/>
    <w:rsid w:val="009836E5"/>
    <w:rsid w:val="00996FC8"/>
    <w:rsid w:val="009A284A"/>
    <w:rsid w:val="009F4F1F"/>
    <w:rsid w:val="00A0194E"/>
    <w:rsid w:val="00A02860"/>
    <w:rsid w:val="00A62443"/>
    <w:rsid w:val="00A80860"/>
    <w:rsid w:val="00A826CC"/>
    <w:rsid w:val="00AB69F3"/>
    <w:rsid w:val="00AF36E9"/>
    <w:rsid w:val="00B16E8E"/>
    <w:rsid w:val="00B305C3"/>
    <w:rsid w:val="00B415D3"/>
    <w:rsid w:val="00B551E1"/>
    <w:rsid w:val="00B55EF6"/>
    <w:rsid w:val="00B66E02"/>
    <w:rsid w:val="00B76D3E"/>
    <w:rsid w:val="00B76FF9"/>
    <w:rsid w:val="00B913C2"/>
    <w:rsid w:val="00B919CB"/>
    <w:rsid w:val="00BA1967"/>
    <w:rsid w:val="00BD6313"/>
    <w:rsid w:val="00BE106D"/>
    <w:rsid w:val="00BF4708"/>
    <w:rsid w:val="00C0482D"/>
    <w:rsid w:val="00C61C9C"/>
    <w:rsid w:val="00C670B7"/>
    <w:rsid w:val="00C71395"/>
    <w:rsid w:val="00CA1DA9"/>
    <w:rsid w:val="00CA3646"/>
    <w:rsid w:val="00CB1038"/>
    <w:rsid w:val="00CE020A"/>
    <w:rsid w:val="00D31CDC"/>
    <w:rsid w:val="00D522AD"/>
    <w:rsid w:val="00D555CF"/>
    <w:rsid w:val="00D556EC"/>
    <w:rsid w:val="00DA5EC8"/>
    <w:rsid w:val="00DE1C85"/>
    <w:rsid w:val="00E174EB"/>
    <w:rsid w:val="00E2383A"/>
    <w:rsid w:val="00E342CA"/>
    <w:rsid w:val="00E415C9"/>
    <w:rsid w:val="00E85EC9"/>
    <w:rsid w:val="00E92E46"/>
    <w:rsid w:val="00EB3167"/>
    <w:rsid w:val="00EB654F"/>
    <w:rsid w:val="00EB6C49"/>
    <w:rsid w:val="00ED30A1"/>
    <w:rsid w:val="00F611DB"/>
    <w:rsid w:val="00F8466F"/>
    <w:rsid w:val="00F84D96"/>
    <w:rsid w:val="00FA7CBB"/>
    <w:rsid w:val="00FB6730"/>
    <w:rsid w:val="00FE03D6"/>
    <w:rsid w:val="00FE37CE"/>
    <w:rsid w:val="00FF1FD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391CF3"/>
  <w15:docId w15:val="{1822B697-1F58-49F5-8E64-F130388A2F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C275E"/>
  </w:style>
  <w:style w:type="paragraph" w:styleId="Titolo1">
    <w:name w:val="heading 1"/>
    <w:basedOn w:val="Normale"/>
    <w:next w:val="Normale"/>
    <w:link w:val="Titolo1Carattere"/>
    <w:uiPriority w:val="9"/>
    <w:qFormat/>
    <w:rsid w:val="00DC275E"/>
    <w:pPr>
      <w:keepNext/>
      <w:keepLines/>
      <w:spacing w:before="360" w:after="80" w:line="278" w:lineRule="auto"/>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DC275E"/>
    <w:pPr>
      <w:keepNext/>
      <w:keepLines/>
      <w:spacing w:before="160" w:after="80" w:line="278" w:lineRule="auto"/>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DC275E"/>
    <w:pPr>
      <w:keepNext/>
      <w:keepLines/>
      <w:spacing w:before="160" w:after="80" w:line="278" w:lineRule="auto"/>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DC275E"/>
    <w:pPr>
      <w:keepNext/>
      <w:keepLines/>
      <w:spacing w:before="80" w:after="40" w:line="278" w:lineRule="auto"/>
      <w:outlineLvl w:val="3"/>
    </w:pPr>
    <w:rPr>
      <w:rFonts w:eastAsiaTheme="majorEastAsia" w:cstheme="majorBidi"/>
      <w:i/>
      <w:iCs/>
      <w:color w:val="2F5496" w:themeColor="accent1" w:themeShade="BF"/>
      <w:sz w:val="24"/>
      <w:szCs w:val="24"/>
    </w:rPr>
  </w:style>
  <w:style w:type="paragraph" w:styleId="Titolo5">
    <w:name w:val="heading 5"/>
    <w:basedOn w:val="Normale"/>
    <w:next w:val="Normale"/>
    <w:link w:val="Titolo5Carattere"/>
    <w:uiPriority w:val="9"/>
    <w:semiHidden/>
    <w:unhideWhenUsed/>
    <w:qFormat/>
    <w:rsid w:val="00DC275E"/>
    <w:pPr>
      <w:keepNext/>
      <w:keepLines/>
      <w:spacing w:before="80" w:after="40" w:line="278" w:lineRule="auto"/>
      <w:outlineLvl w:val="4"/>
    </w:pPr>
    <w:rPr>
      <w:rFonts w:eastAsiaTheme="majorEastAsia" w:cstheme="majorBidi"/>
      <w:color w:val="2F5496" w:themeColor="accent1" w:themeShade="BF"/>
      <w:sz w:val="24"/>
      <w:szCs w:val="24"/>
    </w:rPr>
  </w:style>
  <w:style w:type="paragraph" w:styleId="Titolo6">
    <w:name w:val="heading 6"/>
    <w:basedOn w:val="Normale"/>
    <w:next w:val="Normale"/>
    <w:link w:val="Titolo6Carattere"/>
    <w:uiPriority w:val="9"/>
    <w:semiHidden/>
    <w:unhideWhenUsed/>
    <w:qFormat/>
    <w:rsid w:val="00DC275E"/>
    <w:pPr>
      <w:keepNext/>
      <w:keepLines/>
      <w:spacing w:before="40" w:after="0" w:line="278" w:lineRule="auto"/>
      <w:outlineLvl w:val="5"/>
    </w:pPr>
    <w:rPr>
      <w:rFonts w:eastAsiaTheme="majorEastAsia" w:cstheme="majorBidi"/>
      <w:i/>
      <w:iCs/>
      <w:color w:val="595959" w:themeColor="text1" w:themeTint="A6"/>
      <w:sz w:val="24"/>
      <w:szCs w:val="24"/>
    </w:rPr>
  </w:style>
  <w:style w:type="paragraph" w:styleId="Titolo7">
    <w:name w:val="heading 7"/>
    <w:basedOn w:val="Normale"/>
    <w:next w:val="Normale"/>
    <w:link w:val="Titolo7Carattere"/>
    <w:uiPriority w:val="9"/>
    <w:semiHidden/>
    <w:unhideWhenUsed/>
    <w:qFormat/>
    <w:rsid w:val="00DC275E"/>
    <w:pPr>
      <w:keepNext/>
      <w:keepLines/>
      <w:spacing w:before="40" w:after="0" w:line="278" w:lineRule="auto"/>
      <w:outlineLvl w:val="6"/>
    </w:pPr>
    <w:rPr>
      <w:rFonts w:eastAsiaTheme="majorEastAsia" w:cstheme="majorBidi"/>
      <w:color w:val="595959" w:themeColor="text1" w:themeTint="A6"/>
      <w:sz w:val="24"/>
      <w:szCs w:val="24"/>
    </w:rPr>
  </w:style>
  <w:style w:type="paragraph" w:styleId="Titolo8">
    <w:name w:val="heading 8"/>
    <w:basedOn w:val="Normale"/>
    <w:next w:val="Normale"/>
    <w:link w:val="Titolo8Carattere"/>
    <w:uiPriority w:val="9"/>
    <w:semiHidden/>
    <w:unhideWhenUsed/>
    <w:qFormat/>
    <w:rsid w:val="00DC275E"/>
    <w:pPr>
      <w:keepNext/>
      <w:keepLines/>
      <w:spacing w:after="0" w:line="278" w:lineRule="auto"/>
      <w:outlineLvl w:val="7"/>
    </w:pPr>
    <w:rPr>
      <w:rFonts w:eastAsiaTheme="majorEastAsia" w:cstheme="majorBidi"/>
      <w:i/>
      <w:iCs/>
      <w:color w:val="272727" w:themeColor="text1" w:themeTint="D8"/>
      <w:sz w:val="24"/>
      <w:szCs w:val="24"/>
    </w:rPr>
  </w:style>
  <w:style w:type="paragraph" w:styleId="Titolo9">
    <w:name w:val="heading 9"/>
    <w:basedOn w:val="Normale"/>
    <w:next w:val="Normale"/>
    <w:link w:val="Titolo9Carattere"/>
    <w:uiPriority w:val="9"/>
    <w:semiHidden/>
    <w:unhideWhenUsed/>
    <w:qFormat/>
    <w:rsid w:val="00DC275E"/>
    <w:pPr>
      <w:keepNext/>
      <w:keepLines/>
      <w:spacing w:after="0" w:line="278" w:lineRule="auto"/>
      <w:outlineLvl w:val="8"/>
    </w:pPr>
    <w:rPr>
      <w:rFonts w:eastAsiaTheme="majorEastAsia" w:cstheme="majorBidi"/>
      <w:color w:val="272727" w:themeColor="text1" w:themeTint="D8"/>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link w:val="TitoloCarattere"/>
    <w:uiPriority w:val="10"/>
    <w:qFormat/>
    <w:rsid w:val="00DC275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1Carattere">
    <w:name w:val="Titolo 1 Carattere"/>
    <w:basedOn w:val="Carpredefinitoparagrafo"/>
    <w:link w:val="Titolo1"/>
    <w:uiPriority w:val="9"/>
    <w:rsid w:val="00DC275E"/>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DC275E"/>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DC275E"/>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DC275E"/>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DC275E"/>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DC275E"/>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DC275E"/>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DC275E"/>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DC275E"/>
    <w:rPr>
      <w:rFonts w:eastAsiaTheme="majorEastAsia" w:cstheme="majorBidi"/>
      <w:color w:val="272727" w:themeColor="text1" w:themeTint="D8"/>
    </w:rPr>
  </w:style>
  <w:style w:type="character" w:customStyle="1" w:styleId="TitoloCarattere">
    <w:name w:val="Titolo Carattere"/>
    <w:basedOn w:val="Carpredefinitoparagrafo"/>
    <w:link w:val="Titolo"/>
    <w:uiPriority w:val="10"/>
    <w:rsid w:val="00DC275E"/>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pPr>
      <w:spacing w:line="278" w:lineRule="auto"/>
    </w:pPr>
    <w:rPr>
      <w:color w:val="595959"/>
      <w:sz w:val="28"/>
      <w:szCs w:val="28"/>
    </w:rPr>
  </w:style>
  <w:style w:type="character" w:customStyle="1" w:styleId="SottotitoloCarattere">
    <w:name w:val="Sottotitolo Carattere"/>
    <w:basedOn w:val="Carpredefinitoparagrafo"/>
    <w:link w:val="Sottotitolo"/>
    <w:uiPriority w:val="11"/>
    <w:rsid w:val="00DC275E"/>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DC275E"/>
    <w:pPr>
      <w:spacing w:before="160" w:line="278" w:lineRule="auto"/>
      <w:jc w:val="center"/>
    </w:pPr>
    <w:rPr>
      <w:i/>
      <w:iCs/>
      <w:color w:val="404040" w:themeColor="text1" w:themeTint="BF"/>
      <w:sz w:val="24"/>
      <w:szCs w:val="24"/>
    </w:rPr>
  </w:style>
  <w:style w:type="character" w:customStyle="1" w:styleId="CitazioneCarattere">
    <w:name w:val="Citazione Carattere"/>
    <w:basedOn w:val="Carpredefinitoparagrafo"/>
    <w:link w:val="Citazione"/>
    <w:uiPriority w:val="29"/>
    <w:rsid w:val="00DC275E"/>
    <w:rPr>
      <w:i/>
      <w:iCs/>
      <w:color w:val="404040" w:themeColor="text1" w:themeTint="BF"/>
    </w:rPr>
  </w:style>
  <w:style w:type="paragraph" w:styleId="Paragrafoelenco">
    <w:name w:val="List Paragraph"/>
    <w:basedOn w:val="Normale"/>
    <w:uiPriority w:val="34"/>
    <w:qFormat/>
    <w:rsid w:val="00DC275E"/>
    <w:pPr>
      <w:spacing w:line="278" w:lineRule="auto"/>
      <w:ind w:left="720"/>
      <w:contextualSpacing/>
    </w:pPr>
    <w:rPr>
      <w:sz w:val="24"/>
      <w:szCs w:val="24"/>
    </w:rPr>
  </w:style>
  <w:style w:type="character" w:styleId="Enfasiintensa">
    <w:name w:val="Intense Emphasis"/>
    <w:basedOn w:val="Carpredefinitoparagrafo"/>
    <w:uiPriority w:val="21"/>
    <w:qFormat/>
    <w:rsid w:val="00DC275E"/>
    <w:rPr>
      <w:i/>
      <w:iCs/>
      <w:color w:val="2F5496" w:themeColor="accent1" w:themeShade="BF"/>
    </w:rPr>
  </w:style>
  <w:style w:type="paragraph" w:styleId="Citazioneintensa">
    <w:name w:val="Intense Quote"/>
    <w:basedOn w:val="Normale"/>
    <w:next w:val="Normale"/>
    <w:link w:val="CitazioneintensaCarattere"/>
    <w:uiPriority w:val="30"/>
    <w:qFormat/>
    <w:rsid w:val="00DC275E"/>
    <w:pPr>
      <w:pBdr>
        <w:top w:val="single" w:sz="4" w:space="10" w:color="2F5496" w:themeColor="accent1" w:themeShade="BF"/>
        <w:bottom w:val="single" w:sz="4" w:space="10" w:color="2F5496" w:themeColor="accent1" w:themeShade="BF"/>
      </w:pBdr>
      <w:spacing w:before="360" w:after="360" w:line="278" w:lineRule="auto"/>
      <w:ind w:left="864" w:right="864"/>
      <w:jc w:val="center"/>
    </w:pPr>
    <w:rPr>
      <w:i/>
      <w:iCs/>
      <w:color w:val="2F5496" w:themeColor="accent1" w:themeShade="BF"/>
      <w:sz w:val="24"/>
      <w:szCs w:val="24"/>
    </w:rPr>
  </w:style>
  <w:style w:type="character" w:customStyle="1" w:styleId="CitazioneintensaCarattere">
    <w:name w:val="Citazione intensa Carattere"/>
    <w:basedOn w:val="Carpredefinitoparagrafo"/>
    <w:link w:val="Citazioneintensa"/>
    <w:uiPriority w:val="30"/>
    <w:rsid w:val="00DC275E"/>
    <w:rPr>
      <w:i/>
      <w:iCs/>
      <w:color w:val="2F5496" w:themeColor="accent1" w:themeShade="BF"/>
    </w:rPr>
  </w:style>
  <w:style w:type="character" w:styleId="Riferimentointenso">
    <w:name w:val="Intense Reference"/>
    <w:basedOn w:val="Carpredefinitoparagrafo"/>
    <w:uiPriority w:val="32"/>
    <w:qFormat/>
    <w:rsid w:val="00DC275E"/>
    <w:rPr>
      <w:b/>
      <w:bCs/>
      <w:smallCaps/>
      <w:color w:val="2F5496" w:themeColor="accent1" w:themeShade="BF"/>
      <w:spacing w:val="5"/>
    </w:rPr>
  </w:style>
  <w:style w:type="character" w:styleId="Collegamentoipertestuale">
    <w:name w:val="Hyperlink"/>
    <w:basedOn w:val="Carpredefinitoparagrafo"/>
    <w:uiPriority w:val="99"/>
    <w:unhideWhenUsed/>
    <w:rsid w:val="007F4D4E"/>
    <w:rPr>
      <w:color w:val="0563C1" w:themeColor="hyperlink"/>
      <w:u w:val="single"/>
    </w:rPr>
  </w:style>
  <w:style w:type="character" w:styleId="Menzionenonrisolta">
    <w:name w:val="Unresolved Mention"/>
    <w:basedOn w:val="Carpredefinitoparagrafo"/>
    <w:uiPriority w:val="99"/>
    <w:semiHidden/>
    <w:unhideWhenUsed/>
    <w:rsid w:val="007F4D4E"/>
    <w:rPr>
      <w:color w:val="605E5C"/>
      <w:shd w:val="clear" w:color="auto" w:fill="E1DFDD"/>
    </w:rPr>
  </w:style>
  <w:style w:type="paragraph" w:styleId="Testonotaapidipagina">
    <w:name w:val="footnote text"/>
    <w:basedOn w:val="Normale"/>
    <w:link w:val="TestonotaapidipaginaCarattere"/>
    <w:uiPriority w:val="99"/>
    <w:semiHidden/>
    <w:unhideWhenUsed/>
    <w:rsid w:val="0044286F"/>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44286F"/>
    <w:rPr>
      <w:sz w:val="20"/>
      <w:szCs w:val="20"/>
    </w:rPr>
  </w:style>
  <w:style w:type="character" w:styleId="Rimandonotaapidipagina">
    <w:name w:val="footnote reference"/>
    <w:basedOn w:val="Carpredefinitoparagrafo"/>
    <w:uiPriority w:val="99"/>
    <w:semiHidden/>
    <w:unhideWhenUsed/>
    <w:rsid w:val="0044286F"/>
    <w:rPr>
      <w:vertAlign w:val="superscript"/>
    </w:rPr>
  </w:style>
  <w:style w:type="paragraph" w:styleId="Testocommento">
    <w:name w:val="annotation text"/>
    <w:basedOn w:val="Normale"/>
    <w:link w:val="TestocommentoCarattere"/>
    <w:uiPriority w:val="99"/>
    <w:semiHidden/>
    <w:unhideWhenUsed/>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Pr>
      <w:sz w:val="20"/>
      <w:szCs w:val="20"/>
    </w:rPr>
  </w:style>
  <w:style w:type="character" w:styleId="Rimandocommento">
    <w:name w:val="annotation reference"/>
    <w:basedOn w:val="Carpredefinitoparagrafo"/>
    <w:uiPriority w:val="99"/>
    <w:semiHidden/>
    <w:unhideWhenUsed/>
    <w:rPr>
      <w:sz w:val="16"/>
      <w:szCs w:val="16"/>
    </w:rPr>
  </w:style>
  <w:style w:type="paragraph" w:styleId="Soggettocommento">
    <w:name w:val="annotation subject"/>
    <w:basedOn w:val="Testocommento"/>
    <w:next w:val="Testocommento"/>
    <w:link w:val="SoggettocommentoCarattere"/>
    <w:uiPriority w:val="99"/>
    <w:semiHidden/>
    <w:unhideWhenUsed/>
    <w:rsid w:val="007D1B61"/>
    <w:rPr>
      <w:b/>
      <w:bCs/>
    </w:rPr>
  </w:style>
  <w:style w:type="character" w:customStyle="1" w:styleId="SoggettocommentoCarattere">
    <w:name w:val="Soggetto commento Carattere"/>
    <w:basedOn w:val="TestocommentoCarattere"/>
    <w:link w:val="Soggettocommento"/>
    <w:uiPriority w:val="99"/>
    <w:semiHidden/>
    <w:rsid w:val="007D1B61"/>
    <w:rPr>
      <w:b/>
      <w:bCs/>
      <w:sz w:val="20"/>
      <w:szCs w:val="20"/>
    </w:rPr>
  </w:style>
  <w:style w:type="paragraph" w:styleId="NormaleWeb">
    <w:name w:val="Normal (Web)"/>
    <w:basedOn w:val="Normale"/>
    <w:uiPriority w:val="99"/>
    <w:semiHidden/>
    <w:unhideWhenUsed/>
    <w:rsid w:val="00B913C2"/>
    <w:pPr>
      <w:spacing w:before="100" w:beforeAutospacing="1" w:after="100" w:afterAutospacing="1" w:line="240" w:lineRule="auto"/>
    </w:pPr>
    <w:rPr>
      <w:rFonts w:ascii="Times New Roman" w:eastAsia="Times New Roman" w:hAnsi="Times New Roman" w:cs="Times New Roman"/>
      <w:sz w:val="24"/>
      <w:szCs w:val="24"/>
    </w:rPr>
  </w:style>
  <w:style w:type="character" w:styleId="Enfasigrassetto">
    <w:name w:val="Strong"/>
    <w:basedOn w:val="Carpredefinitoparagrafo"/>
    <w:uiPriority w:val="22"/>
    <w:qFormat/>
    <w:rsid w:val="00B913C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022142">
      <w:bodyDiv w:val="1"/>
      <w:marLeft w:val="0"/>
      <w:marRight w:val="0"/>
      <w:marTop w:val="0"/>
      <w:marBottom w:val="0"/>
      <w:divBdr>
        <w:top w:val="none" w:sz="0" w:space="0" w:color="auto"/>
        <w:left w:val="none" w:sz="0" w:space="0" w:color="auto"/>
        <w:bottom w:val="none" w:sz="0" w:space="0" w:color="auto"/>
        <w:right w:val="none" w:sz="0" w:space="0" w:color="auto"/>
      </w:divBdr>
    </w:div>
    <w:div w:id="351149506">
      <w:bodyDiv w:val="1"/>
      <w:marLeft w:val="0"/>
      <w:marRight w:val="0"/>
      <w:marTop w:val="0"/>
      <w:marBottom w:val="0"/>
      <w:divBdr>
        <w:top w:val="none" w:sz="0" w:space="0" w:color="auto"/>
        <w:left w:val="none" w:sz="0" w:space="0" w:color="auto"/>
        <w:bottom w:val="none" w:sz="0" w:space="0" w:color="auto"/>
        <w:right w:val="none" w:sz="0" w:space="0" w:color="auto"/>
      </w:divBdr>
    </w:div>
    <w:div w:id="573465916">
      <w:bodyDiv w:val="1"/>
      <w:marLeft w:val="0"/>
      <w:marRight w:val="0"/>
      <w:marTop w:val="0"/>
      <w:marBottom w:val="0"/>
      <w:divBdr>
        <w:top w:val="none" w:sz="0" w:space="0" w:color="auto"/>
        <w:left w:val="none" w:sz="0" w:space="0" w:color="auto"/>
        <w:bottom w:val="none" w:sz="0" w:space="0" w:color="auto"/>
        <w:right w:val="none" w:sz="0" w:space="0" w:color="auto"/>
      </w:divBdr>
      <w:divsChild>
        <w:div w:id="1303655142">
          <w:blockQuote w:val="1"/>
          <w:marLeft w:val="720"/>
          <w:marRight w:val="720"/>
          <w:marTop w:val="100"/>
          <w:marBottom w:val="100"/>
          <w:divBdr>
            <w:top w:val="none" w:sz="0" w:space="0" w:color="auto"/>
            <w:left w:val="none" w:sz="0" w:space="0" w:color="auto"/>
            <w:bottom w:val="none" w:sz="0" w:space="0" w:color="auto"/>
            <w:right w:val="none" w:sz="0" w:space="0" w:color="auto"/>
          </w:divBdr>
        </w:div>
        <w:div w:id="96057638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23077181">
      <w:bodyDiv w:val="1"/>
      <w:marLeft w:val="0"/>
      <w:marRight w:val="0"/>
      <w:marTop w:val="0"/>
      <w:marBottom w:val="0"/>
      <w:divBdr>
        <w:top w:val="none" w:sz="0" w:space="0" w:color="auto"/>
        <w:left w:val="none" w:sz="0" w:space="0" w:color="auto"/>
        <w:bottom w:val="none" w:sz="0" w:space="0" w:color="auto"/>
        <w:right w:val="none" w:sz="0" w:space="0" w:color="auto"/>
      </w:divBdr>
    </w:div>
    <w:div w:id="1657102520">
      <w:bodyDiv w:val="1"/>
      <w:marLeft w:val="0"/>
      <w:marRight w:val="0"/>
      <w:marTop w:val="0"/>
      <w:marBottom w:val="0"/>
      <w:divBdr>
        <w:top w:val="none" w:sz="0" w:space="0" w:color="auto"/>
        <w:left w:val="none" w:sz="0" w:space="0" w:color="auto"/>
        <w:bottom w:val="none" w:sz="0" w:space="0" w:color="auto"/>
        <w:right w:val="none" w:sz="0" w:space="0" w:color="auto"/>
      </w:divBdr>
    </w:div>
    <w:div w:id="1712798225">
      <w:bodyDiv w:val="1"/>
      <w:marLeft w:val="0"/>
      <w:marRight w:val="0"/>
      <w:marTop w:val="0"/>
      <w:marBottom w:val="0"/>
      <w:divBdr>
        <w:top w:val="none" w:sz="0" w:space="0" w:color="auto"/>
        <w:left w:val="none" w:sz="0" w:space="0" w:color="auto"/>
        <w:bottom w:val="none" w:sz="0" w:space="0" w:color="auto"/>
        <w:right w:val="none" w:sz="0" w:space="0" w:color="auto"/>
      </w:divBdr>
    </w:div>
    <w:div w:id="1776173940">
      <w:bodyDiv w:val="1"/>
      <w:marLeft w:val="0"/>
      <w:marRight w:val="0"/>
      <w:marTop w:val="0"/>
      <w:marBottom w:val="0"/>
      <w:divBdr>
        <w:top w:val="none" w:sz="0" w:space="0" w:color="auto"/>
        <w:left w:val="none" w:sz="0" w:space="0" w:color="auto"/>
        <w:bottom w:val="none" w:sz="0" w:space="0" w:color="auto"/>
        <w:right w:val="none" w:sz="0" w:space="0" w:color="auto"/>
      </w:divBdr>
    </w:div>
    <w:div w:id="18200278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neighbourseast.eu/wp-content/uploads/2021/07/key_figuers_on_eu_assistance_to_armenia.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primeminister.am/en/press-release/item/2025/02/27/Cabinet-meeting/" TargetMode="External"/><Relationship Id="rId4" Type="http://schemas.openxmlformats.org/officeDocument/2006/relationships/settings" Target="settings.xml"/><Relationship Id="rId9" Type="http://schemas.openxmlformats.org/officeDocument/2006/relationships/hyperlink" Target="https://mineconomy.am/en/page/1646"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CbIGtfIPtve0rcGBeoUoC50O79Q==">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EE83B1C-71C5-4C90-A24B-9A62003F29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2186</TotalTime>
  <Pages>18</Pages>
  <Words>8764</Words>
  <Characters>49960</Characters>
  <Application>Microsoft Office Word</Application>
  <DocSecurity>0</DocSecurity>
  <Lines>416</Lines>
  <Paragraphs>117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58607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29</cp:revision>
  <dcterms:created xsi:type="dcterms:W3CDTF">2025-02-18T17:06:00Z</dcterms:created>
  <dcterms:modified xsi:type="dcterms:W3CDTF">2025-05-26T10:17:00Z</dcterms:modified>
</cp:coreProperties>
</file>